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黑体" w:eastAsia="方正小标宋_GBK"/>
          <w:color w:val="000000" w:themeColor="text1"/>
          <w:sz w:val="44"/>
          <w:szCs w:val="44"/>
          <w14:textFill>
            <w14:solidFill>
              <w14:schemeClr w14:val="tx1"/>
            </w14:solidFill>
          </w14:textFill>
        </w:rPr>
      </w:pPr>
      <w:r>
        <w:rPr>
          <w:rFonts w:hint="eastAsia" w:ascii="方正小标宋_GBK" w:hAnsi="黑体" w:eastAsia="方正小标宋_GBK"/>
          <w:color w:val="000000" w:themeColor="text1"/>
          <w:sz w:val="44"/>
          <w:szCs w:val="44"/>
          <w14:textFill>
            <w14:solidFill>
              <w14:schemeClr w14:val="tx1"/>
            </w14:solidFill>
          </w14:textFill>
        </w:rPr>
        <w:t>德宏职业学院2022年单独招生简章</w:t>
      </w:r>
    </w:p>
    <w:p>
      <w:pPr>
        <w:spacing w:line="600" w:lineRule="exact"/>
        <w:jc w:val="center"/>
        <w:rPr>
          <w:rFonts w:ascii="方正黑体简体" w:hAnsi="黑体" w:eastAsia="方正黑体简体"/>
          <w:color w:val="000000" w:themeColor="text1"/>
          <w:sz w:val="32"/>
          <w:szCs w:val="32"/>
          <w14:textFill>
            <w14:solidFill>
              <w14:schemeClr w14:val="tx1"/>
            </w14:solidFill>
          </w14:textFill>
        </w:rPr>
      </w:pPr>
      <w:r>
        <w:rPr>
          <w:rFonts w:hint="eastAsia" w:ascii="方正黑体简体" w:hAnsi="黑体" w:eastAsia="方正黑体简体"/>
          <w:color w:val="000000" w:themeColor="text1"/>
          <w:sz w:val="32"/>
          <w:szCs w:val="32"/>
          <w14:textFill>
            <w14:solidFill>
              <w14:schemeClr w14:val="tx1"/>
            </w14:solidFill>
          </w14:textFill>
        </w:rPr>
        <w:t>（院校代码5361）</w:t>
      </w:r>
    </w:p>
    <w:p>
      <w:pPr>
        <w:spacing w:line="600" w:lineRule="exact"/>
        <w:rPr>
          <w:rFonts w:ascii="方正楷体_GBK" w:hAnsi="黑体" w:eastAsia="方正楷体_GBK"/>
          <w:color w:val="000000" w:themeColor="text1"/>
          <w:sz w:val="36"/>
          <w:szCs w:val="36"/>
          <w14:textFill>
            <w14:solidFill>
              <w14:schemeClr w14:val="tx1"/>
            </w14:solidFill>
          </w14:textFill>
        </w:rPr>
      </w:pPr>
    </w:p>
    <w:p>
      <w:pPr>
        <w:spacing w:line="600" w:lineRule="exact"/>
        <w:rPr>
          <w:rFonts w:ascii="方正楷体_GBK" w:hAnsi="黑体" w:eastAsia="方正楷体_GBK"/>
          <w:color w:val="000000" w:themeColor="text1"/>
          <w:sz w:val="28"/>
          <w:szCs w:val="28"/>
          <w14:textFill>
            <w14:solidFill>
              <w14:schemeClr w14:val="tx1"/>
            </w14:solidFill>
          </w14:textFill>
        </w:rPr>
      </w:pPr>
      <w:r>
        <w:rPr>
          <w:rFonts w:hint="eastAsia" w:ascii="方正楷体_GBK" w:hAnsi="黑体" w:eastAsia="方正楷体_GBK"/>
          <w:color w:val="000000" w:themeColor="text1"/>
          <w:sz w:val="28"/>
          <w:szCs w:val="28"/>
          <w14:textFill>
            <w14:solidFill>
              <w14:schemeClr w14:val="tx1"/>
            </w14:solidFill>
          </w14:textFill>
        </w:rPr>
        <w:t>具有60多年办学历史的全日制公办普通高校</w:t>
      </w:r>
    </w:p>
    <w:p>
      <w:pPr>
        <w:spacing w:line="600" w:lineRule="exact"/>
        <w:rPr>
          <w:rFonts w:ascii="方正楷体_GBK" w:hAnsi="黑体" w:eastAsia="方正楷体_GBK"/>
          <w:color w:val="000000" w:themeColor="text1"/>
          <w:sz w:val="28"/>
          <w:szCs w:val="28"/>
          <w14:textFill>
            <w14:solidFill>
              <w14:schemeClr w14:val="tx1"/>
            </w14:solidFill>
          </w14:textFill>
        </w:rPr>
      </w:pPr>
      <w:r>
        <w:rPr>
          <w:rFonts w:hint="eastAsia" w:ascii="方正楷体_GBK" w:hAnsi="黑体" w:eastAsia="方正楷体_GBK"/>
          <w:color w:val="000000" w:themeColor="text1"/>
          <w:sz w:val="28"/>
          <w:szCs w:val="28"/>
          <w14:textFill>
            <w14:solidFill>
              <w14:schemeClr w14:val="tx1"/>
            </w14:solidFill>
          </w14:textFill>
        </w:rPr>
        <w:t>全国国防教育特色学校</w:t>
      </w:r>
    </w:p>
    <w:p>
      <w:pPr>
        <w:spacing w:line="600" w:lineRule="exact"/>
        <w:rPr>
          <w:rFonts w:ascii="方正楷体_GBK" w:hAnsi="黑体" w:eastAsia="方正楷体_GBK"/>
          <w:color w:val="000000" w:themeColor="text1"/>
          <w:sz w:val="28"/>
          <w:szCs w:val="28"/>
          <w14:textFill>
            <w14:solidFill>
              <w14:schemeClr w14:val="tx1"/>
            </w14:solidFill>
          </w14:textFill>
        </w:rPr>
      </w:pPr>
      <w:r>
        <w:rPr>
          <w:rFonts w:hint="eastAsia" w:ascii="方正楷体_GBK" w:hAnsi="黑体" w:eastAsia="方正楷体_GBK"/>
          <w:color w:val="000000" w:themeColor="text1"/>
          <w:sz w:val="28"/>
          <w:szCs w:val="28"/>
          <w14:textFill>
            <w14:solidFill>
              <w14:schemeClr w14:val="tx1"/>
            </w14:solidFill>
          </w14:textFill>
        </w:rPr>
        <w:t>云南省优质高职院校</w:t>
      </w:r>
      <w:bookmarkStart w:id="0" w:name="_GoBack"/>
      <w:bookmarkEnd w:id="0"/>
    </w:p>
    <w:p>
      <w:pPr>
        <w:spacing w:line="600" w:lineRule="exact"/>
        <w:rPr>
          <w:rFonts w:ascii="方正楷体_GBK" w:hAnsi="黑体" w:eastAsia="方正楷体_GBK"/>
          <w:color w:val="000000" w:themeColor="text1"/>
          <w:sz w:val="28"/>
          <w:szCs w:val="28"/>
          <w14:textFill>
            <w14:solidFill>
              <w14:schemeClr w14:val="tx1"/>
            </w14:solidFill>
          </w14:textFill>
        </w:rPr>
      </w:pPr>
      <w:r>
        <w:rPr>
          <w:rFonts w:hint="eastAsia" w:ascii="方正楷体_GBK" w:hAnsi="黑体" w:eastAsia="方正楷体_GBK"/>
          <w:color w:val="000000" w:themeColor="text1"/>
          <w:sz w:val="28"/>
          <w:szCs w:val="28"/>
          <w14:textFill>
            <w14:solidFill>
              <w14:schemeClr w14:val="tx1"/>
            </w14:solidFill>
          </w14:textFill>
        </w:rPr>
        <w:t>云南省文明单位</w:t>
      </w:r>
    </w:p>
    <w:p>
      <w:pPr>
        <w:spacing w:line="600" w:lineRule="exact"/>
        <w:rPr>
          <w:rFonts w:ascii="方正楷体_GBK" w:hAnsi="黑体" w:eastAsia="方正楷体_GBK"/>
          <w:color w:val="000000" w:themeColor="text1"/>
          <w:sz w:val="28"/>
          <w:szCs w:val="28"/>
          <w14:textFill>
            <w14:solidFill>
              <w14:schemeClr w14:val="tx1"/>
            </w14:solidFill>
          </w14:textFill>
        </w:rPr>
      </w:pPr>
      <w:r>
        <w:rPr>
          <w:rFonts w:hint="eastAsia" w:ascii="方正楷体_GBK" w:hAnsi="黑体" w:eastAsia="方正楷体_GBK"/>
          <w:color w:val="000000" w:themeColor="text1"/>
          <w:sz w:val="28"/>
          <w:szCs w:val="28"/>
          <w14:textFill>
            <w14:solidFill>
              <w14:schemeClr w14:val="tx1"/>
            </w14:solidFill>
          </w14:textFill>
        </w:rPr>
        <w:t>云南省平安校园</w:t>
      </w:r>
    </w:p>
    <w:p>
      <w:pPr>
        <w:spacing w:line="600" w:lineRule="exact"/>
        <w:rPr>
          <w:rFonts w:ascii="方正楷体_GBK" w:hAnsi="黑体" w:eastAsia="方正楷体_GBK"/>
          <w:color w:val="000000" w:themeColor="text1"/>
          <w:sz w:val="28"/>
          <w:szCs w:val="28"/>
          <w14:textFill>
            <w14:solidFill>
              <w14:schemeClr w14:val="tx1"/>
            </w14:solidFill>
          </w14:textFill>
        </w:rPr>
      </w:pPr>
      <w:r>
        <w:rPr>
          <w:rFonts w:hint="eastAsia" w:ascii="方正楷体_GBK" w:hAnsi="黑体" w:eastAsia="方正楷体_GBK"/>
          <w:color w:val="000000" w:themeColor="text1"/>
          <w:sz w:val="28"/>
          <w:szCs w:val="28"/>
          <w14:textFill>
            <w14:solidFill>
              <w14:schemeClr w14:val="tx1"/>
            </w14:solidFill>
          </w14:textFill>
        </w:rPr>
        <w:t>云南省民族团结进步教育示范学校</w:t>
      </w:r>
    </w:p>
    <w:p>
      <w:pPr>
        <w:spacing w:line="600" w:lineRule="exact"/>
        <w:rPr>
          <w:rFonts w:ascii="方正楷体_GBK" w:hAnsi="黑体" w:eastAsia="方正楷体_GBK"/>
          <w:color w:val="000000" w:themeColor="text1"/>
          <w:sz w:val="28"/>
          <w:szCs w:val="28"/>
          <w14:textFill>
            <w14:solidFill>
              <w14:schemeClr w14:val="tx1"/>
            </w14:solidFill>
          </w14:textFill>
        </w:rPr>
      </w:pPr>
      <w:r>
        <w:rPr>
          <w:rFonts w:hint="eastAsia" w:ascii="方正楷体_GBK" w:hAnsi="黑体" w:eastAsia="方正楷体_GBK"/>
          <w:color w:val="000000" w:themeColor="text1"/>
          <w:sz w:val="28"/>
          <w:szCs w:val="28"/>
          <w14:textFill>
            <w14:solidFill>
              <w14:schemeClr w14:val="tx1"/>
            </w14:solidFill>
          </w14:textFill>
        </w:rPr>
        <w:t>云南省民族团结进步示范单位</w:t>
      </w:r>
    </w:p>
    <w:p>
      <w:pPr>
        <w:spacing w:line="600" w:lineRule="exact"/>
        <w:rPr>
          <w:rFonts w:ascii="方正楷体_GBK" w:hAnsi="黑体" w:eastAsia="方正楷体_GBK"/>
          <w:color w:val="000000" w:themeColor="text1"/>
          <w:sz w:val="28"/>
          <w:szCs w:val="28"/>
          <w14:textFill>
            <w14:solidFill>
              <w14:schemeClr w14:val="tx1"/>
            </w14:solidFill>
          </w14:textFill>
        </w:rPr>
      </w:pPr>
      <w:r>
        <w:rPr>
          <w:rFonts w:hint="eastAsia" w:ascii="方正楷体_GBK" w:hAnsi="黑体" w:eastAsia="方正楷体_GBK"/>
          <w:color w:val="000000" w:themeColor="text1"/>
          <w:sz w:val="28"/>
          <w:szCs w:val="28"/>
          <w14:textFill>
            <w14:solidFill>
              <w14:schemeClr w14:val="tx1"/>
            </w14:solidFill>
          </w14:textFill>
        </w:rPr>
        <w:t>云南省“国门大学”创建高校</w:t>
      </w:r>
    </w:p>
    <w:p>
      <w:pPr>
        <w:spacing w:line="600" w:lineRule="exact"/>
        <w:rPr>
          <w:rFonts w:ascii="方正楷体_GBK" w:hAnsi="黑体" w:eastAsia="方正楷体_GBK"/>
          <w:color w:val="000000" w:themeColor="text1"/>
          <w:sz w:val="28"/>
          <w:szCs w:val="28"/>
          <w14:textFill>
            <w14:solidFill>
              <w14:schemeClr w14:val="tx1"/>
            </w14:solidFill>
          </w14:textFill>
        </w:rPr>
      </w:pPr>
      <w:r>
        <w:rPr>
          <w:rFonts w:hint="eastAsia" w:ascii="方正楷体_GBK" w:hAnsi="黑体" w:eastAsia="方正楷体_GBK"/>
          <w:color w:val="000000" w:themeColor="text1"/>
          <w:sz w:val="28"/>
          <w:szCs w:val="28"/>
          <w14:textFill>
            <w14:solidFill>
              <w14:schemeClr w14:val="tx1"/>
            </w14:solidFill>
          </w14:textFill>
        </w:rPr>
        <w:t>澜沧江-湄公河职业教育联盟成员</w:t>
      </w:r>
    </w:p>
    <w:p>
      <w:pPr>
        <w:spacing w:line="600" w:lineRule="exact"/>
        <w:rPr>
          <w:rFonts w:ascii="方正楷体_GBK" w:hAnsi="黑体" w:eastAsia="方正楷体_GBK"/>
          <w:color w:val="000000" w:themeColor="text1"/>
          <w:sz w:val="28"/>
          <w:szCs w:val="28"/>
          <w14:textFill>
            <w14:solidFill>
              <w14:schemeClr w14:val="tx1"/>
            </w14:solidFill>
          </w14:textFill>
        </w:rPr>
      </w:pPr>
      <w:r>
        <w:rPr>
          <w:rFonts w:hint="eastAsia" w:ascii="方正楷体_GBK" w:hAnsi="黑体" w:eastAsia="方正楷体_GBK"/>
          <w:color w:val="000000" w:themeColor="text1"/>
          <w:sz w:val="28"/>
          <w:szCs w:val="28"/>
          <w14:textFill>
            <w14:solidFill>
              <w14:schemeClr w14:val="tx1"/>
            </w14:solidFill>
          </w14:textFill>
        </w:rPr>
        <w:t>云南省就业创业工作优秀高校</w:t>
      </w:r>
    </w:p>
    <w:p>
      <w:pPr>
        <w:spacing w:line="600" w:lineRule="exact"/>
        <w:rPr>
          <w:rFonts w:ascii="方正楷体_GBK" w:hAnsi="黑体" w:eastAsia="方正楷体_GBK"/>
          <w:color w:val="000000" w:themeColor="text1"/>
          <w:sz w:val="28"/>
          <w:szCs w:val="28"/>
          <w14:textFill>
            <w14:solidFill>
              <w14:schemeClr w14:val="tx1"/>
            </w14:solidFill>
          </w14:textFill>
        </w:rPr>
      </w:pPr>
      <w:r>
        <w:rPr>
          <w:rFonts w:hint="eastAsia" w:ascii="方正楷体_GBK" w:hAnsi="黑体" w:eastAsia="方正楷体_GBK"/>
          <w:color w:val="000000" w:themeColor="text1"/>
          <w:sz w:val="28"/>
          <w:szCs w:val="28"/>
          <w14:textFill>
            <w14:solidFill>
              <w14:schemeClr w14:val="tx1"/>
            </w14:solidFill>
          </w14:textFill>
        </w:rPr>
        <w:t>德宏州民族团结进步示范教育基地</w:t>
      </w:r>
    </w:p>
    <w:p>
      <w:pPr>
        <w:spacing w:line="600" w:lineRule="exact"/>
        <w:rPr>
          <w:rFonts w:ascii="方正楷体_GBK" w:hAnsi="黑体" w:eastAsia="方正楷体_GBK"/>
          <w:color w:val="000000" w:themeColor="text1"/>
          <w:sz w:val="28"/>
          <w:szCs w:val="28"/>
          <w14:textFill>
            <w14:solidFill>
              <w14:schemeClr w14:val="tx1"/>
            </w14:solidFill>
          </w14:textFill>
        </w:rPr>
      </w:pPr>
      <w:r>
        <w:rPr>
          <w:rFonts w:hint="eastAsia" w:ascii="方正楷体_GBK" w:hAnsi="黑体" w:eastAsia="方正楷体_GBK"/>
          <w:color w:val="000000" w:themeColor="text1"/>
          <w:sz w:val="28"/>
          <w:szCs w:val="28"/>
          <w14:textFill>
            <w14:solidFill>
              <w14:schemeClr w14:val="tx1"/>
            </w14:solidFill>
          </w14:textFill>
        </w:rPr>
        <w:t>毕业生毕业去向落实率稳定在98%以上</w:t>
      </w:r>
    </w:p>
    <w:p>
      <w:pPr>
        <w:spacing w:line="600" w:lineRule="exact"/>
        <w:rPr>
          <w:rFonts w:ascii="方正楷体_GBK" w:hAnsi="黑体" w:eastAsia="方正楷体_GBK"/>
          <w:color w:val="000000" w:themeColor="text1"/>
          <w:sz w:val="28"/>
          <w:szCs w:val="28"/>
          <w14:textFill>
            <w14:solidFill>
              <w14:schemeClr w14:val="tx1"/>
            </w14:solidFill>
          </w14:textFill>
        </w:rPr>
      </w:pPr>
      <w:r>
        <w:rPr>
          <w:rFonts w:hint="eastAsia" w:ascii="方正楷体_GBK" w:hAnsi="黑体" w:eastAsia="方正楷体_GBK"/>
          <w:color w:val="000000" w:themeColor="text1"/>
          <w:sz w:val="28"/>
          <w:szCs w:val="28"/>
          <w14:textFill>
            <w14:solidFill>
              <w14:schemeClr w14:val="tx1"/>
            </w14:solidFill>
          </w14:textFill>
        </w:rPr>
        <w:t>…………</w:t>
      </w:r>
    </w:p>
    <w:p>
      <w:pPr>
        <w:spacing w:line="600" w:lineRule="exact"/>
        <w:ind w:firstLine="480" w:firstLineChars="200"/>
        <w:rPr>
          <w:rFonts w:ascii="方正黑体简体" w:hAnsi="黑体" w:eastAsia="方正黑体简体" w:cs="仿宋_GB2312"/>
          <w:color w:val="000000" w:themeColor="text1"/>
          <w:sz w:val="24"/>
          <w:szCs w:val="24"/>
          <w14:textFill>
            <w14:solidFill>
              <w14:schemeClr w14:val="tx1"/>
            </w14:solidFill>
          </w14:textFill>
        </w:rPr>
      </w:pPr>
      <w:r>
        <w:rPr>
          <w:rFonts w:hint="eastAsia" w:ascii="方正黑体简体" w:hAnsi="黑体" w:eastAsia="方正黑体简体" w:cs="仿宋_GB2312"/>
          <w:color w:val="000000" w:themeColor="text1"/>
          <w:sz w:val="24"/>
          <w:szCs w:val="24"/>
          <w14:textFill>
            <w14:solidFill>
              <w14:schemeClr w14:val="tx1"/>
            </w14:solidFill>
          </w14:textFill>
        </w:rPr>
        <w:t>一、招生专业及报考条件</w:t>
      </w: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2834"/>
        <w:gridCol w:w="1559"/>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89" w:type="dxa"/>
            <w:vAlign w:val="center"/>
          </w:tcPr>
          <w:p>
            <w:pPr>
              <w:spacing w:line="600" w:lineRule="exact"/>
              <w:jc w:val="center"/>
              <w:rPr>
                <w:rFonts w:ascii="方正黑体简体" w:hAnsi="黑体" w:eastAsia="方正黑体简体" w:cs="仿宋_GB2312"/>
                <w:color w:val="000000" w:themeColor="text1"/>
                <w:szCs w:val="21"/>
                <w14:textFill>
                  <w14:solidFill>
                    <w14:schemeClr w14:val="tx1"/>
                  </w14:solidFill>
                </w14:textFill>
              </w:rPr>
            </w:pPr>
            <w:r>
              <w:rPr>
                <w:rFonts w:hint="eastAsia" w:ascii="方正黑体简体" w:hAnsi="黑体" w:eastAsia="方正黑体简体" w:cs="仿宋_GB2312"/>
                <w:color w:val="000000" w:themeColor="text1"/>
                <w:szCs w:val="21"/>
                <w14:textFill>
                  <w14:solidFill>
                    <w14:schemeClr w14:val="tx1"/>
                  </w14:solidFill>
                </w14:textFill>
              </w:rPr>
              <w:t>序号</w:t>
            </w:r>
          </w:p>
        </w:tc>
        <w:tc>
          <w:tcPr>
            <w:tcW w:w="2834" w:type="dxa"/>
            <w:vAlign w:val="center"/>
          </w:tcPr>
          <w:p>
            <w:pPr>
              <w:spacing w:line="600" w:lineRule="exact"/>
              <w:jc w:val="center"/>
              <w:rPr>
                <w:rFonts w:ascii="方正黑体简体" w:hAnsi="黑体" w:eastAsia="方正黑体简体" w:cs="仿宋_GB2312"/>
                <w:color w:val="000000" w:themeColor="text1"/>
                <w:szCs w:val="21"/>
                <w14:textFill>
                  <w14:solidFill>
                    <w14:schemeClr w14:val="tx1"/>
                  </w14:solidFill>
                </w14:textFill>
              </w:rPr>
            </w:pPr>
            <w:r>
              <w:rPr>
                <w:rFonts w:hint="eastAsia" w:ascii="方正黑体简体" w:hAnsi="黑体" w:eastAsia="方正黑体简体" w:cs="仿宋_GB2312"/>
                <w:color w:val="000000" w:themeColor="text1"/>
                <w:szCs w:val="21"/>
                <w14:textFill>
                  <w14:solidFill>
                    <w14:schemeClr w14:val="tx1"/>
                  </w14:solidFill>
                </w14:textFill>
              </w:rPr>
              <w:t>招生专业</w:t>
            </w:r>
          </w:p>
        </w:tc>
        <w:tc>
          <w:tcPr>
            <w:tcW w:w="1559" w:type="dxa"/>
            <w:vAlign w:val="center"/>
          </w:tcPr>
          <w:p>
            <w:pPr>
              <w:spacing w:line="600" w:lineRule="exact"/>
              <w:jc w:val="center"/>
              <w:rPr>
                <w:rFonts w:ascii="方正黑体简体" w:hAnsi="黑体" w:eastAsia="方正黑体简体" w:cs="仿宋_GB2312"/>
                <w:color w:val="000000" w:themeColor="text1"/>
                <w:szCs w:val="21"/>
                <w14:textFill>
                  <w14:solidFill>
                    <w14:schemeClr w14:val="tx1"/>
                  </w14:solidFill>
                </w14:textFill>
              </w:rPr>
            </w:pPr>
            <w:r>
              <w:rPr>
                <w:rFonts w:hint="eastAsia" w:ascii="方正黑体简体" w:hAnsi="黑体" w:eastAsia="方正黑体简体" w:cs="仿宋_GB2312"/>
                <w:color w:val="000000" w:themeColor="text1"/>
                <w:szCs w:val="21"/>
                <w14:textFill>
                  <w14:solidFill>
                    <w14:schemeClr w14:val="tx1"/>
                  </w14:solidFill>
                </w14:textFill>
              </w:rPr>
              <w:t>招生计划</w:t>
            </w:r>
          </w:p>
        </w:tc>
        <w:tc>
          <w:tcPr>
            <w:tcW w:w="1701" w:type="dxa"/>
            <w:vAlign w:val="center"/>
          </w:tcPr>
          <w:p>
            <w:pPr>
              <w:spacing w:line="600" w:lineRule="exact"/>
              <w:jc w:val="center"/>
              <w:rPr>
                <w:rFonts w:ascii="方正黑体简体" w:hAnsi="黑体" w:eastAsia="方正黑体简体" w:cs="仿宋_GB2312"/>
                <w:color w:val="000000" w:themeColor="text1"/>
                <w:szCs w:val="21"/>
                <w14:textFill>
                  <w14:solidFill>
                    <w14:schemeClr w14:val="tx1"/>
                  </w14:solidFill>
                </w14:textFill>
              </w:rPr>
            </w:pPr>
            <w:r>
              <w:rPr>
                <w:rFonts w:hint="eastAsia" w:ascii="方正黑体简体" w:hAnsi="黑体" w:eastAsia="方正黑体简体" w:cs="仿宋_GB2312"/>
                <w:color w:val="000000" w:themeColor="text1"/>
                <w:szCs w:val="21"/>
                <w14:textFill>
                  <w14:solidFill>
                    <w14:schemeClr w14:val="tx1"/>
                  </w14:solidFill>
                </w14:textFill>
              </w:rPr>
              <w:t>学历层次</w:t>
            </w:r>
          </w:p>
        </w:tc>
        <w:tc>
          <w:tcPr>
            <w:tcW w:w="1559" w:type="dxa"/>
            <w:vAlign w:val="center"/>
          </w:tcPr>
          <w:p>
            <w:pPr>
              <w:spacing w:line="600" w:lineRule="exact"/>
              <w:jc w:val="center"/>
              <w:rPr>
                <w:rFonts w:ascii="方正黑体简体" w:hAnsi="黑体" w:eastAsia="方正黑体简体" w:cs="仿宋_GB2312"/>
                <w:color w:val="000000" w:themeColor="text1"/>
                <w:szCs w:val="21"/>
                <w14:textFill>
                  <w14:solidFill>
                    <w14:schemeClr w14:val="tx1"/>
                  </w14:solidFill>
                </w14:textFill>
              </w:rPr>
            </w:pPr>
            <w:r>
              <w:rPr>
                <w:rFonts w:hint="eastAsia" w:ascii="方正黑体简体" w:hAnsi="黑体" w:eastAsia="方正黑体简体" w:cs="仿宋_GB2312"/>
                <w:color w:val="000000" w:themeColor="text1"/>
                <w:szCs w:val="21"/>
                <w14:textFill>
                  <w14:solidFill>
                    <w14:schemeClr w14:val="tx1"/>
                  </w14:solidFill>
                </w14:textFill>
              </w:rPr>
              <w:t>招生对象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9"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01</w:t>
            </w:r>
          </w:p>
        </w:tc>
        <w:tc>
          <w:tcPr>
            <w:tcW w:w="2834"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供用电技术</w:t>
            </w:r>
          </w:p>
        </w:tc>
        <w:tc>
          <w:tcPr>
            <w:tcW w:w="1559" w:type="dxa"/>
            <w:vMerge w:val="restart"/>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以省教育厅</w:t>
            </w:r>
          </w:p>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下达为准</w:t>
            </w:r>
          </w:p>
        </w:tc>
        <w:tc>
          <w:tcPr>
            <w:tcW w:w="1701" w:type="dxa"/>
            <w:vMerge w:val="restart"/>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三年制专科</w:t>
            </w:r>
          </w:p>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（全日制）</w:t>
            </w:r>
          </w:p>
        </w:tc>
        <w:tc>
          <w:tcPr>
            <w:tcW w:w="1559" w:type="dxa"/>
            <w:vMerge w:val="restart"/>
            <w:vAlign w:val="center"/>
          </w:tcPr>
          <w:p>
            <w:pPr>
              <w:spacing w:line="400" w:lineRule="exact"/>
              <w:rPr>
                <w:rFonts w:ascii="方正黑体_GBK" w:eastAsia="方正黑体_GBK"/>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通过202</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年高考报名的所有应（往）届高中生和三校生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9"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02</w:t>
            </w:r>
          </w:p>
        </w:tc>
        <w:tc>
          <w:tcPr>
            <w:tcW w:w="2834"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电气自动化技术</w:t>
            </w:r>
          </w:p>
        </w:tc>
        <w:tc>
          <w:tcPr>
            <w:tcW w:w="1559" w:type="dxa"/>
            <w:vMerge w:val="continue"/>
            <w:vAlign w:val="center"/>
          </w:tcPr>
          <w:p>
            <w:pPr>
              <w:spacing w:line="400" w:lineRule="exact"/>
              <w:jc w:val="center"/>
              <w:rPr>
                <w:rFonts w:ascii="方正黑体_GBK" w:eastAsia="方正黑体_GBK"/>
                <w:color w:val="000000" w:themeColor="text1"/>
                <w:szCs w:val="21"/>
                <w14:textFill>
                  <w14:solidFill>
                    <w14:schemeClr w14:val="tx1"/>
                  </w14:solidFill>
                </w14:textFill>
              </w:rPr>
            </w:pPr>
          </w:p>
        </w:tc>
        <w:tc>
          <w:tcPr>
            <w:tcW w:w="1701" w:type="dxa"/>
            <w:vMerge w:val="continue"/>
            <w:vAlign w:val="center"/>
          </w:tcPr>
          <w:p>
            <w:pPr>
              <w:spacing w:line="400" w:lineRule="exact"/>
              <w:jc w:val="center"/>
              <w:rPr>
                <w:rFonts w:ascii="方正黑体_GBK" w:eastAsia="方正黑体_GBK"/>
                <w:color w:val="000000" w:themeColor="text1"/>
                <w:szCs w:val="21"/>
                <w14:textFill>
                  <w14:solidFill>
                    <w14:schemeClr w14:val="tx1"/>
                  </w14:solidFill>
                </w14:textFill>
              </w:rPr>
            </w:pPr>
          </w:p>
        </w:tc>
        <w:tc>
          <w:tcPr>
            <w:tcW w:w="1559" w:type="dxa"/>
            <w:vMerge w:val="continue"/>
            <w:vAlign w:val="center"/>
          </w:tcPr>
          <w:p>
            <w:pPr>
              <w:spacing w:line="400" w:lineRule="exact"/>
              <w:rPr>
                <w:rFonts w:ascii="方正黑体_GBK" w:eastAsia="方正黑体_GBK"/>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9"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03</w:t>
            </w:r>
          </w:p>
        </w:tc>
        <w:tc>
          <w:tcPr>
            <w:tcW w:w="2834"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汽车检测与维修技术</w:t>
            </w:r>
          </w:p>
        </w:tc>
        <w:tc>
          <w:tcPr>
            <w:tcW w:w="1559" w:type="dxa"/>
            <w:vMerge w:val="continue"/>
            <w:vAlign w:val="center"/>
          </w:tcPr>
          <w:p>
            <w:pPr>
              <w:spacing w:line="400" w:lineRule="exact"/>
              <w:jc w:val="center"/>
              <w:rPr>
                <w:rFonts w:ascii="方正黑体_GBK" w:eastAsia="方正黑体_GBK"/>
                <w:color w:val="000000" w:themeColor="text1"/>
                <w:szCs w:val="21"/>
                <w14:textFill>
                  <w14:solidFill>
                    <w14:schemeClr w14:val="tx1"/>
                  </w14:solidFill>
                </w14:textFill>
              </w:rPr>
            </w:pPr>
          </w:p>
        </w:tc>
        <w:tc>
          <w:tcPr>
            <w:tcW w:w="1701" w:type="dxa"/>
            <w:vMerge w:val="continue"/>
            <w:vAlign w:val="center"/>
          </w:tcPr>
          <w:p>
            <w:pPr>
              <w:spacing w:line="400" w:lineRule="exact"/>
              <w:jc w:val="center"/>
              <w:rPr>
                <w:rFonts w:ascii="方正黑体_GBK" w:eastAsia="方正黑体_GBK"/>
                <w:color w:val="000000" w:themeColor="text1"/>
                <w:szCs w:val="21"/>
                <w14:textFill>
                  <w14:solidFill>
                    <w14:schemeClr w14:val="tx1"/>
                  </w14:solidFill>
                </w14:textFill>
              </w:rPr>
            </w:pPr>
          </w:p>
        </w:tc>
        <w:tc>
          <w:tcPr>
            <w:tcW w:w="1559" w:type="dxa"/>
            <w:vMerge w:val="continue"/>
            <w:vAlign w:val="center"/>
          </w:tcPr>
          <w:p>
            <w:pPr>
              <w:spacing w:line="400" w:lineRule="exact"/>
              <w:rPr>
                <w:rFonts w:ascii="方正黑体_GBK" w:eastAsia="方正黑体_GBK"/>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89"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04</w:t>
            </w:r>
          </w:p>
        </w:tc>
        <w:tc>
          <w:tcPr>
            <w:tcW w:w="28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计算机网络技术</w:t>
            </w:r>
          </w:p>
        </w:tc>
        <w:tc>
          <w:tcPr>
            <w:tcW w:w="1559" w:type="dxa"/>
            <w:vMerge w:val="continue"/>
            <w:vAlign w:val="center"/>
          </w:tcPr>
          <w:p>
            <w:pPr>
              <w:spacing w:line="400" w:lineRule="exact"/>
              <w:jc w:val="center"/>
              <w:rPr>
                <w:color w:val="000000" w:themeColor="text1"/>
                <w:szCs w:val="21"/>
                <w14:textFill>
                  <w14:solidFill>
                    <w14:schemeClr w14:val="tx1"/>
                  </w14:solidFill>
                </w14:textFill>
              </w:rPr>
            </w:pPr>
          </w:p>
        </w:tc>
        <w:tc>
          <w:tcPr>
            <w:tcW w:w="1701" w:type="dxa"/>
            <w:vMerge w:val="continue"/>
            <w:vAlign w:val="center"/>
          </w:tcPr>
          <w:p>
            <w:pPr>
              <w:spacing w:line="400" w:lineRule="exact"/>
              <w:jc w:val="center"/>
              <w:rPr>
                <w:color w:val="000000" w:themeColor="text1"/>
                <w:szCs w:val="21"/>
                <w14:textFill>
                  <w14:solidFill>
                    <w14:schemeClr w14:val="tx1"/>
                  </w14:solidFill>
                </w14:textFill>
              </w:rPr>
            </w:pPr>
          </w:p>
        </w:tc>
        <w:tc>
          <w:tcPr>
            <w:tcW w:w="1559" w:type="dxa"/>
            <w:vMerge w:val="continue"/>
            <w:vAlign w:val="center"/>
          </w:tcPr>
          <w:p>
            <w:pPr>
              <w:spacing w:line="40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89"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05</w:t>
            </w:r>
          </w:p>
        </w:tc>
        <w:tc>
          <w:tcPr>
            <w:tcW w:w="2834"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计算机应用技术</w:t>
            </w:r>
          </w:p>
        </w:tc>
        <w:tc>
          <w:tcPr>
            <w:tcW w:w="1559" w:type="dxa"/>
            <w:vMerge w:val="continue"/>
            <w:vAlign w:val="center"/>
          </w:tcPr>
          <w:p>
            <w:pPr>
              <w:spacing w:line="400" w:lineRule="exact"/>
              <w:jc w:val="center"/>
              <w:rPr>
                <w:color w:val="000000" w:themeColor="text1"/>
                <w:szCs w:val="21"/>
                <w14:textFill>
                  <w14:solidFill>
                    <w14:schemeClr w14:val="tx1"/>
                  </w14:solidFill>
                </w14:textFill>
              </w:rPr>
            </w:pPr>
          </w:p>
        </w:tc>
        <w:tc>
          <w:tcPr>
            <w:tcW w:w="1701" w:type="dxa"/>
            <w:vMerge w:val="continue"/>
            <w:vAlign w:val="center"/>
          </w:tcPr>
          <w:p>
            <w:pPr>
              <w:spacing w:line="400" w:lineRule="exact"/>
              <w:jc w:val="center"/>
              <w:rPr>
                <w:color w:val="000000" w:themeColor="text1"/>
                <w:szCs w:val="21"/>
                <w14:textFill>
                  <w14:solidFill>
                    <w14:schemeClr w14:val="tx1"/>
                  </w14:solidFill>
                </w14:textFill>
              </w:rPr>
            </w:pPr>
          </w:p>
        </w:tc>
        <w:tc>
          <w:tcPr>
            <w:tcW w:w="1559" w:type="dxa"/>
            <w:vMerge w:val="continue"/>
            <w:vAlign w:val="center"/>
          </w:tcPr>
          <w:p>
            <w:pPr>
              <w:spacing w:line="40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89"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06</w:t>
            </w:r>
          </w:p>
        </w:tc>
        <w:tc>
          <w:tcPr>
            <w:tcW w:w="2834"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建设工程管理</w:t>
            </w:r>
          </w:p>
        </w:tc>
        <w:tc>
          <w:tcPr>
            <w:tcW w:w="1559" w:type="dxa"/>
            <w:vMerge w:val="continue"/>
            <w:vAlign w:val="center"/>
          </w:tcPr>
          <w:p>
            <w:pPr>
              <w:spacing w:line="400" w:lineRule="exact"/>
              <w:jc w:val="center"/>
              <w:rPr>
                <w:color w:val="000000" w:themeColor="text1"/>
                <w:szCs w:val="21"/>
                <w14:textFill>
                  <w14:solidFill>
                    <w14:schemeClr w14:val="tx1"/>
                  </w14:solidFill>
                </w14:textFill>
              </w:rPr>
            </w:pPr>
          </w:p>
        </w:tc>
        <w:tc>
          <w:tcPr>
            <w:tcW w:w="1701" w:type="dxa"/>
            <w:vMerge w:val="continue"/>
            <w:vAlign w:val="center"/>
          </w:tcPr>
          <w:p>
            <w:pPr>
              <w:spacing w:line="400" w:lineRule="exact"/>
              <w:jc w:val="center"/>
              <w:rPr>
                <w:color w:val="000000" w:themeColor="text1"/>
                <w:szCs w:val="21"/>
                <w14:textFill>
                  <w14:solidFill>
                    <w14:schemeClr w14:val="tx1"/>
                  </w14:solidFill>
                </w14:textFill>
              </w:rPr>
            </w:pPr>
          </w:p>
        </w:tc>
        <w:tc>
          <w:tcPr>
            <w:tcW w:w="1559" w:type="dxa"/>
            <w:vMerge w:val="continue"/>
            <w:vAlign w:val="center"/>
          </w:tcPr>
          <w:p>
            <w:pPr>
              <w:spacing w:line="40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9"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07</w:t>
            </w:r>
          </w:p>
        </w:tc>
        <w:tc>
          <w:tcPr>
            <w:tcW w:w="2834"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新能源汽车技术</w:t>
            </w:r>
          </w:p>
        </w:tc>
        <w:tc>
          <w:tcPr>
            <w:tcW w:w="1559" w:type="dxa"/>
            <w:vMerge w:val="continue"/>
            <w:vAlign w:val="center"/>
          </w:tcPr>
          <w:p>
            <w:pPr>
              <w:spacing w:line="400" w:lineRule="exact"/>
              <w:jc w:val="center"/>
              <w:rPr>
                <w:color w:val="000000" w:themeColor="text1"/>
                <w:szCs w:val="21"/>
                <w14:textFill>
                  <w14:solidFill>
                    <w14:schemeClr w14:val="tx1"/>
                  </w14:solidFill>
                </w14:textFill>
              </w:rPr>
            </w:pPr>
          </w:p>
        </w:tc>
        <w:tc>
          <w:tcPr>
            <w:tcW w:w="1701" w:type="dxa"/>
            <w:vMerge w:val="continue"/>
            <w:vAlign w:val="center"/>
          </w:tcPr>
          <w:p>
            <w:pPr>
              <w:spacing w:line="400" w:lineRule="exact"/>
              <w:jc w:val="center"/>
              <w:rPr>
                <w:color w:val="000000" w:themeColor="text1"/>
                <w:szCs w:val="21"/>
                <w14:textFill>
                  <w14:solidFill>
                    <w14:schemeClr w14:val="tx1"/>
                  </w14:solidFill>
                </w14:textFill>
              </w:rPr>
            </w:pPr>
          </w:p>
        </w:tc>
        <w:tc>
          <w:tcPr>
            <w:tcW w:w="1559" w:type="dxa"/>
            <w:vMerge w:val="continue"/>
            <w:vAlign w:val="center"/>
          </w:tcPr>
          <w:p>
            <w:pPr>
              <w:spacing w:line="40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89"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08</w:t>
            </w:r>
          </w:p>
        </w:tc>
        <w:tc>
          <w:tcPr>
            <w:tcW w:w="2834"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汽车制造与试验技术</w:t>
            </w:r>
          </w:p>
        </w:tc>
        <w:tc>
          <w:tcPr>
            <w:tcW w:w="1559" w:type="dxa"/>
            <w:vMerge w:val="continue"/>
            <w:vAlign w:val="center"/>
          </w:tcPr>
          <w:p>
            <w:pPr>
              <w:spacing w:line="400" w:lineRule="exact"/>
              <w:jc w:val="center"/>
              <w:rPr>
                <w:color w:val="000000" w:themeColor="text1"/>
                <w:szCs w:val="21"/>
                <w14:textFill>
                  <w14:solidFill>
                    <w14:schemeClr w14:val="tx1"/>
                  </w14:solidFill>
                </w14:textFill>
              </w:rPr>
            </w:pPr>
          </w:p>
        </w:tc>
        <w:tc>
          <w:tcPr>
            <w:tcW w:w="1701" w:type="dxa"/>
            <w:vMerge w:val="continue"/>
            <w:shd w:val="clear" w:color="auto" w:fill="auto"/>
            <w:vAlign w:val="center"/>
          </w:tcPr>
          <w:p>
            <w:pPr>
              <w:spacing w:line="400" w:lineRule="exact"/>
              <w:jc w:val="center"/>
              <w:rPr>
                <w:color w:val="000000" w:themeColor="text1"/>
                <w:szCs w:val="21"/>
                <w14:textFill>
                  <w14:solidFill>
                    <w14:schemeClr w14:val="tx1"/>
                  </w14:solidFill>
                </w14:textFill>
              </w:rPr>
            </w:pPr>
          </w:p>
        </w:tc>
        <w:tc>
          <w:tcPr>
            <w:tcW w:w="1559" w:type="dxa"/>
            <w:vMerge w:val="continue"/>
            <w:shd w:val="clear" w:color="auto" w:fill="auto"/>
            <w:vAlign w:val="center"/>
          </w:tcPr>
          <w:p>
            <w:pPr>
              <w:spacing w:line="40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89"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09</w:t>
            </w:r>
          </w:p>
        </w:tc>
        <w:tc>
          <w:tcPr>
            <w:tcW w:w="2834"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老年保健与管理</w:t>
            </w:r>
          </w:p>
        </w:tc>
        <w:tc>
          <w:tcPr>
            <w:tcW w:w="1559" w:type="dxa"/>
            <w:vMerge w:val="continue"/>
            <w:vAlign w:val="center"/>
          </w:tcPr>
          <w:p>
            <w:pPr>
              <w:spacing w:line="400" w:lineRule="exact"/>
              <w:jc w:val="center"/>
              <w:rPr>
                <w:color w:val="000000" w:themeColor="text1"/>
                <w:szCs w:val="21"/>
                <w14:textFill>
                  <w14:solidFill>
                    <w14:schemeClr w14:val="tx1"/>
                  </w14:solidFill>
                </w14:textFill>
              </w:rPr>
            </w:pPr>
          </w:p>
        </w:tc>
        <w:tc>
          <w:tcPr>
            <w:tcW w:w="1701" w:type="dxa"/>
            <w:vMerge w:val="continue"/>
            <w:shd w:val="clear" w:color="auto" w:fill="auto"/>
            <w:vAlign w:val="center"/>
          </w:tcPr>
          <w:p>
            <w:pPr>
              <w:spacing w:line="400" w:lineRule="exact"/>
              <w:jc w:val="center"/>
              <w:rPr>
                <w:color w:val="000000" w:themeColor="text1"/>
                <w:szCs w:val="21"/>
                <w14:textFill>
                  <w14:solidFill>
                    <w14:schemeClr w14:val="tx1"/>
                  </w14:solidFill>
                </w14:textFill>
              </w:rPr>
            </w:pPr>
          </w:p>
        </w:tc>
        <w:tc>
          <w:tcPr>
            <w:tcW w:w="1559" w:type="dxa"/>
            <w:vMerge w:val="continue"/>
            <w:shd w:val="clear" w:color="auto" w:fill="auto"/>
            <w:vAlign w:val="center"/>
          </w:tcPr>
          <w:p>
            <w:pPr>
              <w:spacing w:line="40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89"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2834"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旅游管理</w:t>
            </w:r>
          </w:p>
        </w:tc>
        <w:tc>
          <w:tcPr>
            <w:tcW w:w="1559" w:type="dxa"/>
            <w:vMerge w:val="continue"/>
            <w:vAlign w:val="center"/>
          </w:tcPr>
          <w:p>
            <w:pPr>
              <w:spacing w:line="400" w:lineRule="exact"/>
              <w:jc w:val="center"/>
              <w:rPr>
                <w:color w:val="000000" w:themeColor="text1"/>
                <w:szCs w:val="21"/>
                <w14:textFill>
                  <w14:solidFill>
                    <w14:schemeClr w14:val="tx1"/>
                  </w14:solidFill>
                </w14:textFill>
              </w:rPr>
            </w:pPr>
          </w:p>
        </w:tc>
        <w:tc>
          <w:tcPr>
            <w:tcW w:w="1701" w:type="dxa"/>
            <w:vMerge w:val="continue"/>
            <w:shd w:val="clear" w:color="auto" w:fill="auto"/>
            <w:vAlign w:val="center"/>
          </w:tcPr>
          <w:p>
            <w:pPr>
              <w:spacing w:line="400" w:lineRule="exact"/>
              <w:jc w:val="center"/>
              <w:rPr>
                <w:color w:val="000000" w:themeColor="text1"/>
                <w:szCs w:val="21"/>
                <w14:textFill>
                  <w14:solidFill>
                    <w14:schemeClr w14:val="tx1"/>
                  </w14:solidFill>
                </w14:textFill>
              </w:rPr>
            </w:pPr>
          </w:p>
        </w:tc>
        <w:tc>
          <w:tcPr>
            <w:tcW w:w="1559" w:type="dxa"/>
            <w:vMerge w:val="continue"/>
            <w:shd w:val="clear" w:color="auto" w:fill="auto"/>
            <w:vAlign w:val="center"/>
          </w:tcPr>
          <w:p>
            <w:pPr>
              <w:spacing w:line="40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89"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w:t>
            </w:r>
          </w:p>
        </w:tc>
        <w:tc>
          <w:tcPr>
            <w:tcW w:w="2834"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电子商务</w:t>
            </w:r>
          </w:p>
        </w:tc>
        <w:tc>
          <w:tcPr>
            <w:tcW w:w="1559" w:type="dxa"/>
            <w:vMerge w:val="continue"/>
            <w:vAlign w:val="center"/>
          </w:tcPr>
          <w:p>
            <w:pPr>
              <w:spacing w:line="400" w:lineRule="exact"/>
              <w:jc w:val="center"/>
              <w:rPr>
                <w:color w:val="000000" w:themeColor="text1"/>
                <w:szCs w:val="21"/>
                <w14:textFill>
                  <w14:solidFill>
                    <w14:schemeClr w14:val="tx1"/>
                  </w14:solidFill>
                </w14:textFill>
              </w:rPr>
            </w:pPr>
          </w:p>
        </w:tc>
        <w:tc>
          <w:tcPr>
            <w:tcW w:w="1701" w:type="dxa"/>
            <w:vMerge w:val="continue"/>
            <w:shd w:val="clear" w:color="auto" w:fill="auto"/>
            <w:vAlign w:val="center"/>
          </w:tcPr>
          <w:p>
            <w:pPr>
              <w:spacing w:line="400" w:lineRule="exact"/>
              <w:jc w:val="center"/>
              <w:rPr>
                <w:color w:val="000000" w:themeColor="text1"/>
                <w:szCs w:val="21"/>
                <w14:textFill>
                  <w14:solidFill>
                    <w14:schemeClr w14:val="tx1"/>
                  </w14:solidFill>
                </w14:textFill>
              </w:rPr>
            </w:pPr>
          </w:p>
        </w:tc>
        <w:tc>
          <w:tcPr>
            <w:tcW w:w="1559" w:type="dxa"/>
            <w:vMerge w:val="continue"/>
            <w:shd w:val="clear" w:color="auto" w:fill="auto"/>
            <w:vAlign w:val="center"/>
          </w:tcPr>
          <w:p>
            <w:pPr>
              <w:spacing w:line="40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89"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w:t>
            </w:r>
          </w:p>
        </w:tc>
        <w:tc>
          <w:tcPr>
            <w:tcW w:w="2834"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烹调工艺与营养</w:t>
            </w:r>
          </w:p>
        </w:tc>
        <w:tc>
          <w:tcPr>
            <w:tcW w:w="1559" w:type="dxa"/>
            <w:vMerge w:val="continue"/>
            <w:vAlign w:val="center"/>
          </w:tcPr>
          <w:p>
            <w:pPr>
              <w:spacing w:line="400" w:lineRule="exact"/>
              <w:jc w:val="center"/>
              <w:rPr>
                <w:color w:val="000000" w:themeColor="text1"/>
                <w:szCs w:val="21"/>
                <w14:textFill>
                  <w14:solidFill>
                    <w14:schemeClr w14:val="tx1"/>
                  </w14:solidFill>
                </w14:textFill>
              </w:rPr>
            </w:pPr>
          </w:p>
        </w:tc>
        <w:tc>
          <w:tcPr>
            <w:tcW w:w="1701" w:type="dxa"/>
            <w:vMerge w:val="continue"/>
            <w:shd w:val="clear" w:color="auto" w:fill="auto"/>
            <w:vAlign w:val="center"/>
          </w:tcPr>
          <w:p>
            <w:pPr>
              <w:spacing w:line="400" w:lineRule="exact"/>
              <w:jc w:val="center"/>
              <w:rPr>
                <w:color w:val="000000" w:themeColor="text1"/>
                <w:szCs w:val="21"/>
                <w14:textFill>
                  <w14:solidFill>
                    <w14:schemeClr w14:val="tx1"/>
                  </w14:solidFill>
                </w14:textFill>
              </w:rPr>
            </w:pPr>
          </w:p>
        </w:tc>
        <w:tc>
          <w:tcPr>
            <w:tcW w:w="1559" w:type="dxa"/>
            <w:vMerge w:val="continue"/>
            <w:shd w:val="clear" w:color="auto" w:fill="auto"/>
            <w:vAlign w:val="center"/>
          </w:tcPr>
          <w:p>
            <w:pPr>
              <w:spacing w:line="40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89"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3</w:t>
            </w:r>
          </w:p>
        </w:tc>
        <w:tc>
          <w:tcPr>
            <w:tcW w:w="2834"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医学检验技术</w:t>
            </w:r>
          </w:p>
        </w:tc>
        <w:tc>
          <w:tcPr>
            <w:tcW w:w="1559" w:type="dxa"/>
            <w:vMerge w:val="continue"/>
            <w:vAlign w:val="center"/>
          </w:tcPr>
          <w:p>
            <w:pPr>
              <w:spacing w:line="400" w:lineRule="exact"/>
              <w:jc w:val="center"/>
              <w:rPr>
                <w:color w:val="000000" w:themeColor="text1"/>
                <w:szCs w:val="21"/>
                <w14:textFill>
                  <w14:solidFill>
                    <w14:schemeClr w14:val="tx1"/>
                  </w14:solidFill>
                </w14:textFill>
              </w:rPr>
            </w:pPr>
          </w:p>
        </w:tc>
        <w:tc>
          <w:tcPr>
            <w:tcW w:w="1701" w:type="dxa"/>
            <w:vMerge w:val="continue"/>
            <w:shd w:val="clear" w:color="auto" w:fill="auto"/>
            <w:vAlign w:val="center"/>
          </w:tcPr>
          <w:p>
            <w:pPr>
              <w:spacing w:line="400" w:lineRule="exact"/>
              <w:jc w:val="center"/>
              <w:rPr>
                <w:color w:val="000000" w:themeColor="text1"/>
                <w:szCs w:val="21"/>
                <w14:textFill>
                  <w14:solidFill>
                    <w14:schemeClr w14:val="tx1"/>
                  </w14:solidFill>
                </w14:textFill>
              </w:rPr>
            </w:pPr>
          </w:p>
        </w:tc>
        <w:tc>
          <w:tcPr>
            <w:tcW w:w="1559" w:type="dxa"/>
            <w:vMerge w:val="continue"/>
            <w:shd w:val="clear" w:color="auto" w:fill="auto"/>
            <w:vAlign w:val="center"/>
          </w:tcPr>
          <w:p>
            <w:pPr>
              <w:spacing w:line="40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89"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4</w:t>
            </w:r>
          </w:p>
        </w:tc>
        <w:tc>
          <w:tcPr>
            <w:tcW w:w="2834"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医学影像技术</w:t>
            </w:r>
          </w:p>
        </w:tc>
        <w:tc>
          <w:tcPr>
            <w:tcW w:w="1559" w:type="dxa"/>
            <w:vMerge w:val="continue"/>
            <w:vAlign w:val="center"/>
          </w:tcPr>
          <w:p>
            <w:pPr>
              <w:spacing w:line="400" w:lineRule="exact"/>
              <w:jc w:val="center"/>
              <w:rPr>
                <w:color w:val="000000" w:themeColor="text1"/>
                <w:szCs w:val="21"/>
                <w14:textFill>
                  <w14:solidFill>
                    <w14:schemeClr w14:val="tx1"/>
                  </w14:solidFill>
                </w14:textFill>
              </w:rPr>
            </w:pPr>
          </w:p>
        </w:tc>
        <w:tc>
          <w:tcPr>
            <w:tcW w:w="1701" w:type="dxa"/>
            <w:vMerge w:val="continue"/>
            <w:shd w:val="clear" w:color="auto" w:fill="auto"/>
            <w:vAlign w:val="center"/>
          </w:tcPr>
          <w:p>
            <w:pPr>
              <w:spacing w:line="400" w:lineRule="exact"/>
              <w:jc w:val="center"/>
              <w:rPr>
                <w:color w:val="000000" w:themeColor="text1"/>
                <w:szCs w:val="21"/>
                <w14:textFill>
                  <w14:solidFill>
                    <w14:schemeClr w14:val="tx1"/>
                  </w14:solidFill>
                </w14:textFill>
              </w:rPr>
            </w:pPr>
          </w:p>
        </w:tc>
        <w:tc>
          <w:tcPr>
            <w:tcW w:w="1559" w:type="dxa"/>
            <w:vMerge w:val="continue"/>
            <w:shd w:val="clear" w:color="auto" w:fill="auto"/>
            <w:vAlign w:val="center"/>
          </w:tcPr>
          <w:p>
            <w:pPr>
              <w:spacing w:line="40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9"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5</w:t>
            </w:r>
          </w:p>
        </w:tc>
        <w:tc>
          <w:tcPr>
            <w:tcW w:w="2834"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药学</w:t>
            </w:r>
          </w:p>
        </w:tc>
        <w:tc>
          <w:tcPr>
            <w:tcW w:w="1559" w:type="dxa"/>
            <w:vMerge w:val="continue"/>
            <w:vAlign w:val="center"/>
          </w:tcPr>
          <w:p>
            <w:pPr>
              <w:spacing w:line="400" w:lineRule="exact"/>
              <w:jc w:val="center"/>
              <w:rPr>
                <w:color w:val="000000" w:themeColor="text1"/>
                <w:szCs w:val="21"/>
                <w14:textFill>
                  <w14:solidFill>
                    <w14:schemeClr w14:val="tx1"/>
                  </w14:solidFill>
                </w14:textFill>
              </w:rPr>
            </w:pPr>
          </w:p>
        </w:tc>
        <w:tc>
          <w:tcPr>
            <w:tcW w:w="1701" w:type="dxa"/>
            <w:vMerge w:val="continue"/>
            <w:shd w:val="clear" w:color="auto" w:fill="auto"/>
            <w:vAlign w:val="center"/>
          </w:tcPr>
          <w:p>
            <w:pPr>
              <w:spacing w:line="400" w:lineRule="exact"/>
              <w:jc w:val="center"/>
              <w:rPr>
                <w:color w:val="000000" w:themeColor="text1"/>
                <w:szCs w:val="21"/>
                <w14:textFill>
                  <w14:solidFill>
                    <w14:schemeClr w14:val="tx1"/>
                  </w14:solidFill>
                </w14:textFill>
              </w:rPr>
            </w:pPr>
          </w:p>
        </w:tc>
        <w:tc>
          <w:tcPr>
            <w:tcW w:w="1559" w:type="dxa"/>
            <w:vMerge w:val="continue"/>
            <w:shd w:val="clear" w:color="auto" w:fill="auto"/>
            <w:vAlign w:val="center"/>
          </w:tcPr>
          <w:p>
            <w:pPr>
              <w:spacing w:line="400" w:lineRule="exact"/>
              <w:jc w:val="center"/>
              <w:rPr>
                <w:color w:val="000000" w:themeColor="text1"/>
                <w:szCs w:val="21"/>
                <w14:textFill>
                  <w14:solidFill>
                    <w14:schemeClr w14:val="tx1"/>
                  </w14:solidFill>
                </w14:textFill>
              </w:rPr>
            </w:pPr>
          </w:p>
        </w:tc>
      </w:tr>
    </w:tbl>
    <w:p>
      <w:pPr>
        <w:spacing w:line="600" w:lineRule="exact"/>
        <w:rPr>
          <w:rFonts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szCs w:val="21"/>
          <w14:textFill>
            <w14:solidFill>
              <w14:schemeClr w14:val="tx1"/>
            </w14:solidFill>
          </w14:textFill>
        </w:rPr>
        <w:t>备注：</w:t>
      </w:r>
      <w:r>
        <w:rPr>
          <w:rFonts w:hint="eastAsia" w:ascii="宋体" w:hAnsi="宋体" w:eastAsia="宋体"/>
          <w:color w:val="000000" w:themeColor="text1"/>
          <w:szCs w:val="21"/>
          <w14:textFill>
            <w14:solidFill>
              <w14:schemeClr w14:val="tx1"/>
            </w14:solidFill>
          </w14:textFill>
        </w:rPr>
        <w:t>老年保健与管理、医学检验技术、医学影像技术、药学专业不招生色弱、色盲的考生。</w:t>
      </w:r>
    </w:p>
    <w:p>
      <w:pPr>
        <w:spacing w:line="600" w:lineRule="exact"/>
        <w:ind w:firstLine="480" w:firstLineChars="200"/>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二、报名时间及方式</w:t>
      </w:r>
    </w:p>
    <w:p>
      <w:pPr>
        <w:spacing w:line="600" w:lineRule="exact"/>
        <w:ind w:firstLine="480" w:firstLineChars="200"/>
        <w:rPr>
          <w:rFonts w:ascii="黑体" w:hAnsi="黑体" w:eastAsia="黑体"/>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（一）报名时间：</w:t>
      </w:r>
      <w:r>
        <w:rPr>
          <w:rFonts w:asciiTheme="minorEastAsia" w:hAnsiTheme="minorEastAsia"/>
          <w:color w:val="000000" w:themeColor="text1"/>
          <w:sz w:val="24"/>
          <w:szCs w:val="24"/>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202</w:t>
      </w:r>
      <w:r>
        <w:rPr>
          <w:rFonts w:asciiTheme="minorEastAsia" w:hAnsiTheme="minorEastAsia"/>
          <w:color w:val="000000" w:themeColor="text1"/>
          <w:sz w:val="24"/>
          <w:szCs w:val="24"/>
          <w14:textFill>
            <w14:solidFill>
              <w14:schemeClr w14:val="tx1"/>
            </w14:solidFill>
          </w14:textFill>
        </w:rPr>
        <w:t>2</w:t>
      </w:r>
      <w:r>
        <w:rPr>
          <w:rFonts w:hint="eastAsia" w:asciiTheme="minorEastAsia" w:hAnsiTheme="minorEastAsia"/>
          <w:color w:val="000000" w:themeColor="text1"/>
          <w:sz w:val="24"/>
          <w:szCs w:val="24"/>
          <w14:textFill>
            <w14:solidFill>
              <w14:schemeClr w14:val="tx1"/>
            </w14:solidFill>
          </w14:textFill>
        </w:rPr>
        <w:t>年3月</w:t>
      </w:r>
      <w:r>
        <w:rPr>
          <w:rFonts w:asciiTheme="minorEastAsia" w:hAnsiTheme="minorEastAsia"/>
          <w:color w:val="000000" w:themeColor="text1"/>
          <w:sz w:val="24"/>
          <w:szCs w:val="24"/>
          <w14:textFill>
            <w14:solidFill>
              <w14:schemeClr w14:val="tx1"/>
            </w14:solidFill>
          </w14:textFill>
        </w:rPr>
        <w:t>15</w:t>
      </w:r>
      <w:r>
        <w:rPr>
          <w:rFonts w:hint="eastAsia" w:asciiTheme="minorEastAsia" w:hAnsiTheme="minorEastAsia"/>
          <w:color w:val="000000" w:themeColor="text1"/>
          <w:sz w:val="24"/>
          <w:szCs w:val="24"/>
          <w14:textFill>
            <w14:solidFill>
              <w14:schemeClr w14:val="tx1"/>
            </w14:solidFill>
          </w14:textFill>
        </w:rPr>
        <w:t>日至3月20日（具体时段以云南招生频道公布为准）。</w:t>
      </w:r>
    </w:p>
    <w:p>
      <w:pPr>
        <w:spacing w:line="60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w:t>
      </w:r>
      <w:r>
        <w:rPr>
          <w:rFonts w:asciiTheme="minorEastAsia" w:hAnsiTheme="minorEastAsia"/>
          <w:color w:val="000000" w:themeColor="text1"/>
          <w:sz w:val="24"/>
          <w:szCs w:val="24"/>
          <w14:textFill>
            <w14:solidFill>
              <w14:schemeClr w14:val="tx1"/>
            </w14:solidFill>
          </w14:textFill>
        </w:rPr>
        <w:t>考生须在规定时间内登录云南省普通高等学校招生考生服务平台（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"https://gkbm.ynzs.cn/" \t "https://www.ynzs.cn/html/content/_self" </w:instrText>
      </w:r>
      <w:r>
        <w:rPr>
          <w:color w:val="000000" w:themeColor="text1"/>
          <w14:textFill>
            <w14:solidFill>
              <w14:schemeClr w14:val="tx1"/>
            </w14:solidFill>
          </w14:textFill>
        </w:rPr>
        <w:fldChar w:fldCharType="separate"/>
      </w:r>
      <w:r>
        <w:rPr>
          <w:rFonts w:asciiTheme="minorEastAsia" w:hAnsiTheme="minorEastAsia"/>
          <w:color w:val="000000" w:themeColor="text1"/>
          <w:sz w:val="24"/>
          <w:szCs w:val="24"/>
          <w14:textFill>
            <w14:solidFill>
              <w14:schemeClr w14:val="tx1"/>
            </w14:solidFill>
          </w14:textFill>
        </w:rPr>
        <w:t>https://gkbm.ynzs.cn</w:t>
      </w:r>
      <w:r>
        <w:rPr>
          <w:rFonts w:asciiTheme="minorEastAsia" w:hAnsiTheme="minorEastAsia"/>
          <w:color w:val="000000" w:themeColor="text1"/>
          <w:sz w:val="24"/>
          <w:szCs w:val="24"/>
          <w14:textFill>
            <w14:solidFill>
              <w14:schemeClr w14:val="tx1"/>
            </w14:solidFill>
          </w14:textFill>
        </w:rPr>
        <w:fldChar w:fldCharType="end"/>
      </w:r>
      <w:r>
        <w:rPr>
          <w:rFonts w:asciiTheme="minorEastAsia" w:hAnsiTheme="minorEastAsia"/>
          <w:color w:val="000000" w:themeColor="text1"/>
          <w:sz w:val="24"/>
          <w:szCs w:val="24"/>
          <w14:textFill>
            <w14:solidFill>
              <w14:schemeClr w14:val="tx1"/>
            </w14:solidFill>
          </w14:textFill>
        </w:rPr>
        <w:t>），进入“我的志愿”选项卡（以下简称志愿填报系统）进行志愿填报，在填报截止时间前完成确认操作，所填报考生志愿方为有效志愿，方可参加后续院校初选、考试及投档录取。</w:t>
      </w:r>
    </w:p>
    <w:p>
      <w:pPr>
        <w:spacing w:line="600" w:lineRule="exact"/>
        <w:ind w:firstLine="480" w:firstLineChars="200"/>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三、考核方式</w:t>
      </w:r>
    </w:p>
    <w:p>
      <w:pPr>
        <w:spacing w:line="600" w:lineRule="exact"/>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（一）</w:t>
      </w:r>
      <w:r>
        <w:rPr>
          <w:rFonts w:asciiTheme="minorEastAsia" w:hAnsiTheme="minorEastAsia"/>
          <w:b/>
          <w:color w:val="000000" w:themeColor="text1"/>
          <w:sz w:val="24"/>
          <w:szCs w:val="24"/>
          <w14:textFill>
            <w14:solidFill>
              <w14:schemeClr w14:val="tx1"/>
            </w14:solidFill>
          </w14:textFill>
        </w:rPr>
        <w:t>普通高中毕业生评价方式</w:t>
      </w:r>
    </w:p>
    <w:p>
      <w:pPr>
        <w:spacing w:line="60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不分文理科，实行“普通高中学业水平考试量化成绩+职业适应性测试”评价方式。普通高中学业水平考试量化成绩满分220分，职业适应性测试成绩满分200分，普通高中毕业生高职单招满分分值420分。 </w:t>
      </w:r>
    </w:p>
    <w:p>
      <w:pPr>
        <w:spacing w:line="60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普通高中学业水平考试共11门学科（语文、数学、外语、思想政治、历史、地理、物理、化学、生物、信息技术及通用技术），每个科目按最好成绩等第进行量化（A等20分、B等16分、C等12分、D等8分）。</w:t>
      </w:r>
    </w:p>
    <w:p>
      <w:pPr>
        <w:spacing w:line="600" w:lineRule="exact"/>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（二）</w:t>
      </w:r>
      <w:r>
        <w:rPr>
          <w:rFonts w:asciiTheme="minorEastAsia" w:hAnsiTheme="minorEastAsia"/>
          <w:b/>
          <w:color w:val="000000" w:themeColor="text1"/>
          <w:sz w:val="24"/>
          <w:szCs w:val="24"/>
          <w14:textFill>
            <w14:solidFill>
              <w14:schemeClr w14:val="tx1"/>
            </w14:solidFill>
          </w14:textFill>
        </w:rPr>
        <w:t>中职毕业生评价方式</w:t>
      </w:r>
    </w:p>
    <w:p>
      <w:pPr>
        <w:spacing w:line="60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实行“文化素质+职业技能”评价方式，文化素质成绩满分200分，职业技能成绩满分200分，中职毕业生高职单招满分分值400分。 </w:t>
      </w:r>
    </w:p>
    <w:p>
      <w:pPr>
        <w:spacing w:line="60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（三）考试内容以学校官网公布的《德宏职业学院2022年单独招生考试大纲》为准。</w:t>
      </w:r>
    </w:p>
    <w:p>
      <w:pPr>
        <w:spacing w:line="600" w:lineRule="exact"/>
        <w:ind w:firstLine="480" w:firstLineChars="200"/>
        <w:rPr>
          <w:rFonts w:ascii="方正黑体_GBK" w:eastAsia="方正黑体_GBK" w:hAnsiTheme="minorEastAsia"/>
          <w:color w:val="000000" w:themeColor="text1"/>
          <w:sz w:val="24"/>
          <w:szCs w:val="24"/>
          <w14:textFill>
            <w14:solidFill>
              <w14:schemeClr w14:val="tx1"/>
            </w14:solidFill>
          </w14:textFill>
        </w:rPr>
      </w:pPr>
      <w:r>
        <w:rPr>
          <w:rFonts w:hint="eastAsia" w:ascii="方正黑体_GBK" w:eastAsia="方正黑体_GBK" w:hAnsiTheme="minorEastAsia"/>
          <w:color w:val="000000" w:themeColor="text1"/>
          <w:sz w:val="24"/>
          <w:szCs w:val="24"/>
          <w14:textFill>
            <w14:solidFill>
              <w14:schemeClr w14:val="tx1"/>
            </w14:solidFill>
          </w14:textFill>
        </w:rPr>
        <w:t>四、考试相关时间</w:t>
      </w:r>
    </w:p>
    <w:p>
      <w:pPr>
        <w:spacing w:line="60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w:t>
      </w:r>
      <w:r>
        <w:rPr>
          <w:rFonts w:hint="eastAsia" w:asciiTheme="minorEastAsia" w:hAnsiTheme="minorEastAsia"/>
          <w:b/>
          <w:color w:val="000000" w:themeColor="text1"/>
          <w:sz w:val="24"/>
          <w:szCs w:val="24"/>
          <w14:textFill>
            <w14:solidFill>
              <w14:schemeClr w14:val="tx1"/>
            </w14:solidFill>
          </w14:textFill>
        </w:rPr>
        <w:t>一）确认及打印准考证时间：</w:t>
      </w:r>
      <w:r>
        <w:rPr>
          <w:rFonts w:hint="eastAsia" w:asciiTheme="minorEastAsia" w:hAnsiTheme="minorEastAsia"/>
          <w:color w:val="000000" w:themeColor="text1"/>
          <w:sz w:val="24"/>
          <w:szCs w:val="24"/>
          <w14:textFill>
            <w14:solidFill>
              <w14:schemeClr w14:val="tx1"/>
            </w14:solidFill>
          </w14:textFill>
        </w:rPr>
        <w:t>3月24日上午08:00——3月25日下午18:00。请考生在规定时间内，登录德宏职业学院官网（https://www.yndhvc.com），对是否参加考试进行确认操作，并根据考生本人情况选择考试日期及打印《诚信考试承诺书》、《2022年德宏职业学院单招考试考生告知书》、准考证。系统将于3月25日下午18:00自动关闭，未按时进行准考证确认的考生将视为自动放弃参加我校单独招生考试。</w:t>
      </w:r>
    </w:p>
    <w:p>
      <w:pPr>
        <w:spacing w:line="600" w:lineRule="exact"/>
        <w:ind w:firstLine="482"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（二）</w:t>
      </w:r>
      <w:r>
        <w:rPr>
          <w:rFonts w:hint="eastAsia" w:asciiTheme="minorEastAsia" w:hAnsiTheme="minorEastAsia"/>
          <w:color w:val="000000" w:themeColor="text1"/>
          <w:sz w:val="24"/>
          <w:szCs w:val="24"/>
          <w14:textFill>
            <w14:solidFill>
              <w14:schemeClr w14:val="tx1"/>
            </w14:solidFill>
          </w14:textFill>
        </w:rPr>
        <w:t>3月26日</w:t>
      </w:r>
      <w:r>
        <w:rPr>
          <w:rFonts w:hint="eastAsia" w:asciiTheme="minorEastAsia" w:hAnsiTheme="minorEastAsia"/>
          <w:color w:val="000000" w:themeColor="text1"/>
          <w:sz w:val="24"/>
          <w:szCs w:val="24"/>
          <w14:textFill>
            <w14:solidFill>
              <w14:schemeClr w14:val="tx1"/>
            </w14:solidFill>
          </w14:textFill>
        </w:rPr>
        <w:t>08:00-</w:t>
      </w:r>
      <w:r>
        <w:rPr>
          <w:rFonts w:asciiTheme="minorEastAsia" w:hAnsiTheme="minorEastAsia"/>
          <w:color w:val="000000" w:themeColor="text1"/>
          <w:sz w:val="24"/>
          <w:szCs w:val="24"/>
          <w14:textFill>
            <w14:solidFill>
              <w14:schemeClr w14:val="tx1"/>
            </w14:solidFill>
          </w14:textFill>
        </w:rPr>
        <w:t>18</w:t>
      </w:r>
      <w:r>
        <w:rPr>
          <w:rFonts w:hint="eastAsia" w:asciiTheme="minorEastAsia" w:hAnsiTheme="minorEastAsia"/>
          <w:color w:val="000000" w:themeColor="text1"/>
          <w:sz w:val="24"/>
          <w:szCs w:val="24"/>
          <w14:textFill>
            <w14:solidFill>
              <w14:schemeClr w14:val="tx1"/>
            </w14:solidFill>
          </w14:textFill>
        </w:rPr>
        <w:t>:00</w:t>
      </w:r>
      <w:r>
        <w:rPr>
          <w:rFonts w:hint="eastAsia" w:asciiTheme="minorEastAsia" w:hAnsiTheme="minorEastAsia"/>
          <w:color w:val="000000" w:themeColor="text1"/>
          <w:sz w:val="24"/>
          <w:szCs w:val="24"/>
          <w14:textFill>
            <w14:solidFill>
              <w14:schemeClr w14:val="tx1"/>
            </w14:solidFill>
          </w14:textFill>
        </w:rPr>
        <w:t>考试系统对考生开放模拟考试演练。</w:t>
      </w:r>
      <w:r>
        <w:rPr>
          <w:rFonts w:hint="eastAsia" w:asciiTheme="minorEastAsia" w:hAnsiTheme="minorEastAsia"/>
          <w:color w:val="000000" w:themeColor="text1"/>
          <w:sz w:val="24"/>
          <w:szCs w:val="24"/>
          <w14:textFill>
            <w14:solidFill>
              <w14:schemeClr w14:val="tx1"/>
            </w14:solidFill>
          </w14:textFill>
        </w:rPr>
        <w:t>模拟考试仅用于考试流程演练，与正式考试内容无关。</w:t>
      </w:r>
    </w:p>
    <w:p>
      <w:pPr>
        <w:spacing w:line="600" w:lineRule="exact"/>
        <w:ind w:firstLine="482"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（三）</w:t>
      </w:r>
      <w:r>
        <w:rPr>
          <w:rFonts w:hint="eastAsia" w:asciiTheme="minorEastAsia" w:hAnsiTheme="minorEastAsia"/>
          <w:color w:val="000000" w:themeColor="text1"/>
          <w:sz w:val="24"/>
          <w:szCs w:val="24"/>
          <w14:textFill>
            <w14:solidFill>
              <w14:schemeClr w14:val="tx1"/>
            </w14:solidFill>
          </w14:textFill>
        </w:rPr>
        <w:t>考试平台及要求：</w:t>
      </w:r>
      <w:r>
        <w:rPr>
          <w:rFonts w:hint="eastAsia" w:asciiTheme="minorEastAsia" w:hAnsiTheme="minorEastAsia"/>
          <w:color w:val="000000" w:themeColor="text1"/>
          <w:sz w:val="24"/>
          <w:szCs w:val="24"/>
          <w14:textFill>
            <w14:solidFill>
              <w14:schemeClr w14:val="tx1"/>
            </w14:solidFill>
          </w14:textFill>
        </w:rPr>
        <w:t>超星学习通APP，仅限使用手机移动端进行考试。</w:t>
      </w:r>
    </w:p>
    <w:p>
      <w:pPr>
        <w:spacing w:line="600" w:lineRule="exact"/>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（四）</w:t>
      </w:r>
      <w:r>
        <w:rPr>
          <w:rFonts w:hint="eastAsia" w:asciiTheme="minorEastAsia" w:hAnsiTheme="minorEastAsia"/>
          <w:color w:val="000000" w:themeColor="text1"/>
          <w:sz w:val="24"/>
          <w:szCs w:val="24"/>
          <w14:textFill>
            <w14:solidFill>
              <w14:schemeClr w14:val="tx1"/>
            </w14:solidFill>
          </w14:textFill>
        </w:rPr>
        <w:t>考试：根据打印准考证时预约的考试时间，考生可于3月27日或3月28日上午9:00——12:00登陆考试系统，正式考试。</w:t>
      </w:r>
      <w:r>
        <w:rPr>
          <w:rFonts w:hint="eastAsia" w:asciiTheme="minorEastAsia" w:hAnsiTheme="minorEastAsia"/>
          <w:b/>
          <w:color w:val="000000" w:themeColor="text1"/>
          <w:sz w:val="24"/>
          <w:szCs w:val="24"/>
          <w14:textFill>
            <w14:solidFill>
              <w14:schemeClr w14:val="tx1"/>
            </w14:solidFill>
          </w14:textFill>
        </w:rPr>
        <w:t>每位考生只允许预约一个考试时间，参加一次考试。</w:t>
      </w:r>
    </w:p>
    <w:p>
      <w:pPr>
        <w:spacing w:line="600" w:lineRule="exact"/>
        <w:ind w:firstLine="482"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（五</w:t>
      </w:r>
      <w:r>
        <w:rPr>
          <w:rFonts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招生</w:t>
      </w:r>
      <w:r>
        <w:rPr>
          <w:rFonts w:asciiTheme="minorEastAsia" w:hAnsiTheme="minorEastAsia"/>
          <w:color w:val="000000" w:themeColor="text1"/>
          <w:sz w:val="24"/>
          <w:szCs w:val="24"/>
          <w14:textFill>
            <w14:solidFill>
              <w14:schemeClr w14:val="tx1"/>
            </w14:solidFill>
          </w14:textFill>
        </w:rPr>
        <w:t>章程、考试大纲</w:t>
      </w:r>
      <w:r>
        <w:rPr>
          <w:rFonts w:hint="eastAsia" w:asciiTheme="minorEastAsia" w:hAnsiTheme="minorEastAsia"/>
          <w:color w:val="000000" w:themeColor="text1"/>
          <w:sz w:val="24"/>
          <w:szCs w:val="24"/>
          <w14:textFill>
            <w14:solidFill>
              <w14:schemeClr w14:val="tx1"/>
            </w14:solidFill>
          </w14:textFill>
        </w:rPr>
        <w:t>及相关考试要求</w:t>
      </w:r>
      <w:r>
        <w:rPr>
          <w:rFonts w:asciiTheme="minorEastAsia" w:hAnsiTheme="minorEastAsia"/>
          <w:color w:val="000000" w:themeColor="text1"/>
          <w:sz w:val="24"/>
          <w:szCs w:val="24"/>
          <w14:textFill>
            <w14:solidFill>
              <w14:schemeClr w14:val="tx1"/>
            </w14:solidFill>
          </w14:textFill>
        </w:rPr>
        <w:t>详见德宏职业学院</w:t>
      </w:r>
      <w:r>
        <w:rPr>
          <w:rFonts w:hint="eastAsia" w:asciiTheme="minorEastAsia" w:hAnsiTheme="minorEastAsia"/>
          <w:color w:val="000000" w:themeColor="text1"/>
          <w:sz w:val="24"/>
          <w:szCs w:val="24"/>
          <w14:textFill>
            <w14:solidFill>
              <w14:schemeClr w14:val="tx1"/>
            </w14:solidFill>
          </w14:textFill>
        </w:rPr>
        <w:t>官网</w:t>
      </w:r>
      <w:r>
        <w:rPr>
          <w:rFonts w:hint="eastAsia"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HYPERLINK "http://www.yndhvc.com" </w:instrText>
      </w:r>
      <w:r>
        <w:rPr>
          <w:rFonts w:hint="eastAsia" w:asciiTheme="minorEastAsia" w:hAnsiTheme="minorEastAsia"/>
          <w:color w:val="000000" w:themeColor="text1"/>
          <w:sz w:val="24"/>
          <w:szCs w:val="24"/>
          <w14:textFill>
            <w14:solidFill>
              <w14:schemeClr w14:val="tx1"/>
            </w14:solidFill>
          </w14:textFill>
        </w:rPr>
        <w:fldChar w:fldCharType="separate"/>
      </w:r>
      <w:r>
        <w:rPr>
          <w:rFonts w:hint="eastAsia" w:asciiTheme="minorEastAsia" w:hAnsiTheme="minorEastAsia"/>
          <w:color w:val="000000" w:themeColor="text1"/>
          <w:sz w:val="24"/>
          <w:szCs w:val="24"/>
          <w14:textFill>
            <w14:solidFill>
              <w14:schemeClr w14:val="tx1"/>
            </w14:solidFill>
          </w14:textFill>
        </w:rPr>
        <w:t>www.yndhvc.com</w:t>
      </w:r>
      <w:r>
        <w:rPr>
          <w:rFonts w:hint="eastAsia" w:asciiTheme="minorEastAsia" w:hAnsiTheme="minorEastAsia"/>
          <w:color w:val="000000" w:themeColor="text1"/>
          <w:sz w:val="24"/>
          <w:szCs w:val="24"/>
          <w14:textFill>
            <w14:solidFill>
              <w14:schemeClr w14:val="tx1"/>
            </w14:solidFill>
          </w14:textFill>
        </w:rPr>
        <w:fldChar w:fldCharType="end"/>
      </w:r>
    </w:p>
    <w:p>
      <w:pPr>
        <w:spacing w:line="600" w:lineRule="exact"/>
        <w:ind w:firstLine="480" w:firstLineChars="200"/>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五</w:t>
      </w:r>
      <w:r>
        <w:rPr>
          <w:rFonts w:ascii="黑体" w:hAnsi="黑体" w:eastAsia="黑体"/>
          <w:color w:val="000000" w:themeColor="text1"/>
          <w:sz w:val="24"/>
          <w:szCs w:val="24"/>
          <w14:textFill>
            <w14:solidFill>
              <w14:schemeClr w14:val="tx1"/>
            </w14:solidFill>
          </w14:textFill>
        </w:rPr>
        <w:t>、</w:t>
      </w:r>
      <w:r>
        <w:rPr>
          <w:rFonts w:hint="eastAsia" w:ascii="黑体" w:hAnsi="黑体" w:eastAsia="黑体"/>
          <w:color w:val="000000" w:themeColor="text1"/>
          <w:sz w:val="24"/>
          <w:szCs w:val="24"/>
          <w14:textFill>
            <w14:solidFill>
              <w14:schemeClr w14:val="tx1"/>
            </w14:solidFill>
          </w14:textFill>
        </w:rPr>
        <w:t>其它</w:t>
      </w:r>
    </w:p>
    <w:p>
      <w:pPr>
        <w:spacing w:line="600" w:lineRule="exact"/>
        <w:ind w:firstLine="480" w:firstLineChars="200"/>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凡单独招生录取考生,与普通高校秋季招生录取考生享受同等政策，云南省</w:t>
      </w:r>
      <w:r>
        <w:rPr>
          <w:rFonts w:hint="eastAsia" w:asciiTheme="minorEastAsia" w:hAnsiTheme="minorEastAsia"/>
          <w:color w:val="000000" w:themeColor="text1"/>
          <w:sz w:val="24"/>
          <w:szCs w:val="24"/>
          <w14:textFill>
            <w14:solidFill>
              <w14:schemeClr w14:val="tx1"/>
            </w14:solidFill>
          </w14:textFill>
        </w:rPr>
        <w:t>教育厅</w:t>
      </w:r>
      <w:r>
        <w:rPr>
          <w:rFonts w:asciiTheme="minorEastAsia" w:hAnsiTheme="minorEastAsia"/>
          <w:color w:val="000000" w:themeColor="text1"/>
          <w:sz w:val="24"/>
          <w:szCs w:val="24"/>
          <w14:textFill>
            <w14:solidFill>
              <w14:schemeClr w14:val="tx1"/>
            </w14:solidFill>
          </w14:textFill>
        </w:rPr>
        <w:t>统一报教育部电子注册</w:t>
      </w:r>
      <w:r>
        <w:rPr>
          <w:rFonts w:hint="eastAsia" w:asciiTheme="minorEastAsia" w:hAnsiTheme="minorEastAsia"/>
          <w:color w:val="000000" w:themeColor="text1"/>
          <w:sz w:val="24"/>
          <w:szCs w:val="24"/>
          <w14:textFill>
            <w14:solidFill>
              <w14:schemeClr w14:val="tx1"/>
            </w14:solidFill>
          </w14:textFill>
        </w:rPr>
        <w:t>；在校</w:t>
      </w:r>
      <w:r>
        <w:rPr>
          <w:rFonts w:asciiTheme="minorEastAsia" w:hAnsiTheme="minorEastAsia"/>
          <w:color w:val="000000" w:themeColor="text1"/>
          <w:sz w:val="24"/>
          <w:szCs w:val="24"/>
          <w14:textFill>
            <w14:solidFill>
              <w14:schemeClr w14:val="tx1"/>
            </w14:solidFill>
          </w14:textFill>
        </w:rPr>
        <w:t>期间待遇、毕业</w:t>
      </w:r>
      <w:r>
        <w:rPr>
          <w:rFonts w:hint="eastAsia" w:asciiTheme="minorEastAsia" w:hAnsiTheme="minorEastAsia"/>
          <w:color w:val="000000" w:themeColor="text1"/>
          <w:sz w:val="24"/>
          <w:szCs w:val="24"/>
          <w14:textFill>
            <w14:solidFill>
              <w14:schemeClr w14:val="tx1"/>
            </w14:solidFill>
          </w14:textFill>
        </w:rPr>
        <w:t>证书与</w:t>
      </w:r>
      <w:r>
        <w:rPr>
          <w:rFonts w:asciiTheme="minorEastAsia" w:hAnsiTheme="minorEastAsia"/>
          <w:color w:val="000000" w:themeColor="text1"/>
          <w:sz w:val="24"/>
          <w:szCs w:val="24"/>
          <w14:textFill>
            <w14:solidFill>
              <w14:schemeClr w14:val="tx1"/>
            </w14:solidFill>
          </w14:textFill>
        </w:rPr>
        <w:t>普通高考</w:t>
      </w:r>
      <w:r>
        <w:rPr>
          <w:rFonts w:hint="eastAsia" w:asciiTheme="minorEastAsia" w:hAnsiTheme="minorEastAsia"/>
          <w:color w:val="000000" w:themeColor="text1"/>
          <w:sz w:val="24"/>
          <w:szCs w:val="24"/>
          <w14:textFill>
            <w14:solidFill>
              <w14:schemeClr w14:val="tx1"/>
            </w14:solidFill>
          </w14:textFill>
        </w:rPr>
        <w:t>录取</w:t>
      </w:r>
      <w:r>
        <w:rPr>
          <w:rFonts w:asciiTheme="minorEastAsia" w:hAnsiTheme="minorEastAsia"/>
          <w:color w:val="000000" w:themeColor="text1"/>
          <w:sz w:val="24"/>
          <w:szCs w:val="24"/>
          <w14:textFill>
            <w14:solidFill>
              <w14:schemeClr w14:val="tx1"/>
            </w14:solidFill>
          </w14:textFill>
        </w:rPr>
        <w:t>学生完全一致。</w:t>
      </w:r>
    </w:p>
    <w:p>
      <w:pPr>
        <w:spacing w:line="60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考试大纲及考试操作流程</w:t>
      </w:r>
      <w:r>
        <w:rPr>
          <w:rFonts w:asciiTheme="minorEastAsia" w:hAnsiTheme="minorEastAsia"/>
          <w:color w:val="000000" w:themeColor="text1"/>
          <w:sz w:val="24"/>
          <w:szCs w:val="24"/>
          <w14:textFill>
            <w14:solidFill>
              <w14:schemeClr w14:val="tx1"/>
            </w14:solidFill>
          </w14:textFill>
        </w:rPr>
        <w:t>咨询电话：</w:t>
      </w:r>
      <w:r>
        <w:rPr>
          <w:rFonts w:asciiTheme="minorEastAsia" w:hAnsiTheme="minorEastAsia"/>
          <w:color w:val="000000" w:themeColor="text1"/>
          <w:sz w:val="24"/>
          <w:szCs w:val="24"/>
          <w14:textFill>
            <w14:solidFill>
              <w14:schemeClr w14:val="tx1"/>
            </w14:solidFill>
          </w14:textFill>
        </w:rPr>
        <w:t>0692-2105636</w:t>
      </w:r>
    </w:p>
    <w:p>
      <w:pPr>
        <w:spacing w:line="60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招生录取咨询</w:t>
      </w:r>
      <w:r>
        <w:rPr>
          <w:rFonts w:asciiTheme="minorEastAsia" w:hAnsiTheme="minorEastAsia"/>
          <w:color w:val="000000" w:themeColor="text1"/>
          <w:sz w:val="24"/>
          <w:szCs w:val="24"/>
          <w14:textFill>
            <w14:solidFill>
              <w14:schemeClr w14:val="tx1"/>
            </w14:solidFill>
          </w14:textFill>
        </w:rPr>
        <w:t>电话：</w:t>
      </w:r>
      <w:r>
        <w:rPr>
          <w:rFonts w:hint="eastAsia" w:asciiTheme="minorEastAsia" w:hAnsiTheme="minorEastAsia"/>
          <w:color w:val="000000" w:themeColor="text1"/>
          <w:sz w:val="24"/>
          <w:szCs w:val="24"/>
          <w14:textFill>
            <w14:solidFill>
              <w14:schemeClr w14:val="tx1"/>
            </w14:solidFill>
          </w14:textFill>
        </w:rPr>
        <w:t>0692</w:t>
      </w:r>
      <w:r>
        <w:rPr>
          <w:rFonts w:asciiTheme="minorEastAsia" w:hAnsiTheme="minorEastAsia"/>
          <w:color w:val="000000" w:themeColor="text1"/>
          <w:sz w:val="24"/>
          <w:szCs w:val="24"/>
          <w14:textFill>
            <w14:solidFill>
              <w14:schemeClr w14:val="tx1"/>
            </w14:solidFill>
          </w14:textFill>
        </w:rPr>
        <w:t>-2999725  2280311</w:t>
      </w:r>
    </w:p>
    <w:p>
      <w:pPr>
        <w:spacing w:line="600" w:lineRule="exact"/>
        <w:ind w:firstLine="480" w:firstLineChars="200"/>
        <w:rPr>
          <w:rFonts w:asciiTheme="minorEastAsia" w:hAnsiTheme="minorEastAsia"/>
          <w:color w:val="000000" w:themeColor="text1"/>
          <w:sz w:val="24"/>
          <w:szCs w:val="24"/>
          <w14:textFill>
            <w14:solidFill>
              <w14:schemeClr w14:val="tx1"/>
            </w14:solidFill>
          </w14:textFill>
        </w:rPr>
      </w:pPr>
    </w:p>
    <w:p>
      <w:pPr>
        <w:spacing w:line="60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学校地址</w:t>
      </w:r>
      <w:r>
        <w:rPr>
          <w:rFonts w:asciiTheme="minorEastAsia" w:hAnsiTheme="minorEastAsia"/>
          <w:color w:val="000000" w:themeColor="text1"/>
          <w:sz w:val="24"/>
          <w:szCs w:val="24"/>
          <w14:textFill>
            <w14:solidFill>
              <w14:schemeClr w14:val="tx1"/>
            </w14:solidFill>
          </w14:textFill>
        </w:rPr>
        <w:t>：云南省德宏州芒市营水路</w:t>
      </w:r>
      <w:r>
        <w:rPr>
          <w:rFonts w:hint="eastAsia" w:asciiTheme="minorEastAsia" w:hAnsiTheme="minorEastAsia"/>
          <w:color w:val="000000" w:themeColor="text1"/>
          <w:sz w:val="24"/>
          <w:szCs w:val="24"/>
          <w14:textFill>
            <w14:solidFill>
              <w14:schemeClr w14:val="tx1"/>
            </w14:solidFill>
          </w14:textFill>
        </w:rPr>
        <w:t>11号</w:t>
      </w:r>
    </w:p>
    <w:p>
      <w:pPr>
        <w:spacing w:line="60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学院官网</w:t>
      </w:r>
      <w:r>
        <w:rPr>
          <w:rFonts w:asciiTheme="minorEastAsia" w:hAnsiTheme="minorEastAsia"/>
          <w:color w:val="000000" w:themeColor="text1"/>
          <w:sz w:val="24"/>
          <w:szCs w:val="24"/>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"http://www.yndhvc.com" </w:instrText>
      </w:r>
      <w:r>
        <w:rPr>
          <w:color w:val="000000" w:themeColor="text1"/>
          <w14:textFill>
            <w14:solidFill>
              <w14:schemeClr w14:val="tx1"/>
            </w14:solidFill>
          </w14:textFill>
        </w:rPr>
        <w:fldChar w:fldCharType="separate"/>
      </w:r>
      <w:r>
        <w:rPr>
          <w:rStyle w:val="8"/>
          <w:rFonts w:hint="eastAsia" w:asciiTheme="minorEastAsia" w:hAnsiTheme="minorEastAsia"/>
          <w:color w:val="000000" w:themeColor="text1"/>
          <w:sz w:val="24"/>
          <w:szCs w:val="24"/>
          <w14:textFill>
            <w14:solidFill>
              <w14:schemeClr w14:val="tx1"/>
            </w14:solidFill>
          </w14:textFill>
        </w:rPr>
        <w:t>www.yndhvc.com</w:t>
      </w:r>
      <w:r>
        <w:rPr>
          <w:rStyle w:val="8"/>
          <w:rFonts w:hint="eastAsia" w:asciiTheme="minorEastAsia" w:hAnsiTheme="minorEastAsia"/>
          <w:color w:val="000000" w:themeColor="text1"/>
          <w:sz w:val="24"/>
          <w:szCs w:val="24"/>
          <w14:textFill>
            <w14:solidFill>
              <w14:schemeClr w14:val="tx1"/>
            </w14:solidFill>
          </w14:textFill>
        </w:rPr>
        <w:fldChar w:fldCharType="end"/>
      </w:r>
    </w:p>
    <w:p>
      <w:pPr>
        <w:spacing w:line="600" w:lineRule="exact"/>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德宏职业学院微信公众号</w:t>
      </w:r>
    </w:p>
    <w:p>
      <w:pPr>
        <w:spacing w:line="600" w:lineRule="exact"/>
        <w:ind w:firstLine="600" w:firstLineChars="200"/>
        <w:rPr>
          <w:rFonts w:asciiTheme="minorEastAsia" w:hAnsiTheme="minorEastAsia"/>
          <w:color w:val="000000" w:themeColor="text1"/>
          <w:sz w:val="30"/>
          <w:szCs w:val="30"/>
          <w14:textFill>
            <w14:solidFill>
              <w14:schemeClr w14:val="tx1"/>
            </w14:solidFill>
          </w14:textFill>
        </w:rPr>
      </w:pPr>
    </w:p>
    <w:p>
      <w:pPr>
        <w:spacing w:line="600" w:lineRule="exact"/>
        <w:ind w:firstLine="600" w:firstLineChars="200"/>
        <w:rPr>
          <w:rFonts w:asciiTheme="minorEastAsia" w:hAnsiTheme="minorEastAsia"/>
          <w:color w:val="000000" w:themeColor="text1"/>
          <w:sz w:val="30"/>
          <w:szCs w:val="30"/>
          <w14:textFill>
            <w14:solidFill>
              <w14:schemeClr w14:val="tx1"/>
            </w14:solidFill>
          </w14:textFill>
        </w:rPr>
      </w:pPr>
    </w:p>
    <w:p>
      <w:pPr>
        <w:spacing w:line="600" w:lineRule="exact"/>
        <w:ind w:firstLine="600" w:firstLineChars="200"/>
        <w:rPr>
          <w:rFonts w:asciiTheme="minorEastAsia" w:hAnsiTheme="minorEastAsia"/>
          <w:color w:val="000000" w:themeColor="text1"/>
          <w:sz w:val="30"/>
          <w:szCs w:val="30"/>
          <w14:textFill>
            <w14:solidFill>
              <w14:schemeClr w14:val="tx1"/>
            </w14:solidFill>
          </w14:textFill>
        </w:rPr>
      </w:pPr>
    </w:p>
    <w:p>
      <w:pPr>
        <w:spacing w:line="600" w:lineRule="exact"/>
        <w:ind w:firstLine="600" w:firstLineChars="200"/>
        <w:rPr>
          <w:rFonts w:asciiTheme="minorEastAsia" w:hAnsiTheme="minorEastAsia"/>
          <w:color w:val="000000" w:themeColor="text1"/>
          <w:sz w:val="30"/>
          <w:szCs w:val="30"/>
          <w14:textFill>
            <w14:solidFill>
              <w14:schemeClr w14:val="tx1"/>
            </w14:solidFill>
          </w14:textFill>
        </w:rPr>
      </w:pPr>
    </w:p>
    <w:p>
      <w:pPr>
        <w:spacing w:line="600" w:lineRule="exact"/>
        <w:ind w:firstLine="600" w:firstLineChars="200"/>
        <w:rPr>
          <w:rFonts w:asciiTheme="minorEastAsia" w:hAnsiTheme="minorEastAsia"/>
          <w:color w:val="000000" w:themeColor="text1"/>
          <w:sz w:val="30"/>
          <w:szCs w:val="30"/>
          <w14:textFill>
            <w14:solidFill>
              <w14:schemeClr w14:val="tx1"/>
            </w14:solidFill>
          </w14:textFill>
        </w:rPr>
      </w:pPr>
    </w:p>
    <w:p>
      <w:pPr>
        <w:spacing w:line="600" w:lineRule="exact"/>
        <w:ind w:firstLine="600" w:firstLineChars="200"/>
        <w:rPr>
          <w:rFonts w:asciiTheme="minorEastAsia" w:hAnsiTheme="minorEastAsia"/>
          <w:color w:val="000000" w:themeColor="text1"/>
          <w:sz w:val="30"/>
          <w:szCs w:val="30"/>
          <w14:textFill>
            <w14:solidFill>
              <w14:schemeClr w14:val="tx1"/>
            </w14:solidFill>
          </w14:textFill>
        </w:rPr>
      </w:pPr>
      <w:r>
        <w:rPr>
          <w:rFonts w:asciiTheme="minorEastAsia" w:hAnsiTheme="minorEastAsia"/>
          <w:color w:val="000000" w:themeColor="text1"/>
          <w:sz w:val="30"/>
          <w:szCs w:val="30"/>
          <w14:textFill>
            <w14:solidFill>
              <w14:schemeClr w14:val="tx1"/>
            </w14:solidFill>
          </w14:textFill>
        </w:rPr>
        <w:drawing>
          <wp:anchor distT="0" distB="0" distL="114300" distR="114300" simplePos="0" relativeHeight="251659264" behindDoc="1" locked="0" layoutInCell="1" allowOverlap="1">
            <wp:simplePos x="0" y="0"/>
            <wp:positionH relativeFrom="column">
              <wp:posOffset>384810</wp:posOffset>
            </wp:positionH>
            <wp:positionV relativeFrom="paragraph">
              <wp:posOffset>-1748790</wp:posOffset>
            </wp:positionV>
            <wp:extent cx="2059305" cy="2059305"/>
            <wp:effectExtent l="0" t="0" r="0" b="0"/>
            <wp:wrapTight wrapText="bothSides">
              <wp:wrapPolygon>
                <wp:start x="0" y="0"/>
                <wp:lineTo x="0" y="21387"/>
                <wp:lineTo x="21387" y="21387"/>
                <wp:lineTo x="21387" y="0"/>
                <wp:lineTo x="0" y="0"/>
              </wp:wrapPolygon>
            </wp:wrapTight>
            <wp:docPr id="3" name="图片 3" descr="C:\Users\Administrator\Desktop\公众号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公众号二维码.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059200" cy="2059200"/>
                    </a:xfrm>
                    <a:prstGeom prst="rect">
                      <a:avLst/>
                    </a:prstGeom>
                    <a:noFill/>
                    <a:ln>
                      <a:noFill/>
                    </a:ln>
                  </pic:spPr>
                </pic:pic>
              </a:graphicData>
            </a:graphic>
          </wp:anchor>
        </w:drawing>
      </w:r>
    </w:p>
    <w:p>
      <w:pPr>
        <w:spacing w:line="600" w:lineRule="exact"/>
        <w:ind w:firstLine="482"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考生注意：</w:t>
      </w:r>
      <w:r>
        <w:rPr>
          <w:rFonts w:asciiTheme="minorEastAsia" w:hAnsiTheme="minorEastAsia"/>
          <w:color w:val="000000" w:themeColor="text1"/>
          <w:sz w:val="24"/>
          <w:szCs w:val="24"/>
          <w14:textFill>
            <w14:solidFill>
              <w14:schemeClr w14:val="tx1"/>
            </w14:solidFill>
          </w14:textFill>
        </w:rPr>
        <w:t>学院不委托任何机构和个人办理招生相关事宜。对以德宏职业学院名义进行非法招生宣传等活动的机构或个人，学院保留依法追究其责任的权利。</w:t>
      </w:r>
    </w:p>
    <w:p>
      <w:pPr>
        <w:spacing w:line="600" w:lineRule="exact"/>
        <w:ind w:firstLine="600" w:firstLineChars="200"/>
        <w:rPr>
          <w:rFonts w:asciiTheme="minorEastAsia" w:hAnsiTheme="minorEastAsia"/>
          <w:color w:val="000000" w:themeColor="text1"/>
          <w:sz w:val="30"/>
          <w:szCs w:val="30"/>
          <w14:textFill>
            <w14:solidFill>
              <w14:schemeClr w14:val="tx1"/>
            </w14:solidFill>
          </w14:textFill>
        </w:rPr>
      </w:pP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Arial Unicode MS"/>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971"/>
    <w:rsid w:val="00013331"/>
    <w:rsid w:val="00013414"/>
    <w:rsid w:val="000216D1"/>
    <w:rsid w:val="00024168"/>
    <w:rsid w:val="000302DF"/>
    <w:rsid w:val="00041284"/>
    <w:rsid w:val="00043177"/>
    <w:rsid w:val="0005734E"/>
    <w:rsid w:val="0006589D"/>
    <w:rsid w:val="000D1DF8"/>
    <w:rsid w:val="000D33C2"/>
    <w:rsid w:val="000D7875"/>
    <w:rsid w:val="000F1542"/>
    <w:rsid w:val="000F53F9"/>
    <w:rsid w:val="00100990"/>
    <w:rsid w:val="00107F81"/>
    <w:rsid w:val="00110956"/>
    <w:rsid w:val="00112CFF"/>
    <w:rsid w:val="001145A1"/>
    <w:rsid w:val="0011599D"/>
    <w:rsid w:val="0012076E"/>
    <w:rsid w:val="001216DE"/>
    <w:rsid w:val="00144222"/>
    <w:rsid w:val="00157265"/>
    <w:rsid w:val="00162D16"/>
    <w:rsid w:val="001772D8"/>
    <w:rsid w:val="00182F20"/>
    <w:rsid w:val="00194E6B"/>
    <w:rsid w:val="001C5AD8"/>
    <w:rsid w:val="001D6793"/>
    <w:rsid w:val="001F7DCD"/>
    <w:rsid w:val="00202F29"/>
    <w:rsid w:val="002362F6"/>
    <w:rsid w:val="00260E0F"/>
    <w:rsid w:val="002B0E6C"/>
    <w:rsid w:val="002B1BB6"/>
    <w:rsid w:val="002B7410"/>
    <w:rsid w:val="002C4D48"/>
    <w:rsid w:val="002D0ED0"/>
    <w:rsid w:val="002E08B4"/>
    <w:rsid w:val="002E4148"/>
    <w:rsid w:val="003029FD"/>
    <w:rsid w:val="00306256"/>
    <w:rsid w:val="00321180"/>
    <w:rsid w:val="0032162F"/>
    <w:rsid w:val="00347551"/>
    <w:rsid w:val="00351997"/>
    <w:rsid w:val="0035660E"/>
    <w:rsid w:val="00357DD2"/>
    <w:rsid w:val="00361B55"/>
    <w:rsid w:val="00365B45"/>
    <w:rsid w:val="00375501"/>
    <w:rsid w:val="003A517B"/>
    <w:rsid w:val="003B4EDF"/>
    <w:rsid w:val="003E5315"/>
    <w:rsid w:val="00404F81"/>
    <w:rsid w:val="00405E5B"/>
    <w:rsid w:val="00411392"/>
    <w:rsid w:val="004240CE"/>
    <w:rsid w:val="00453F1A"/>
    <w:rsid w:val="00456763"/>
    <w:rsid w:val="00461468"/>
    <w:rsid w:val="0048348C"/>
    <w:rsid w:val="00494546"/>
    <w:rsid w:val="004B13A1"/>
    <w:rsid w:val="004C125B"/>
    <w:rsid w:val="00515BE1"/>
    <w:rsid w:val="00520DB4"/>
    <w:rsid w:val="0054476C"/>
    <w:rsid w:val="00545B53"/>
    <w:rsid w:val="00550737"/>
    <w:rsid w:val="0055357C"/>
    <w:rsid w:val="00556725"/>
    <w:rsid w:val="00556D99"/>
    <w:rsid w:val="00566BC0"/>
    <w:rsid w:val="0057093C"/>
    <w:rsid w:val="00584716"/>
    <w:rsid w:val="00584CC2"/>
    <w:rsid w:val="005A04AE"/>
    <w:rsid w:val="005B4033"/>
    <w:rsid w:val="005C4D65"/>
    <w:rsid w:val="005C7C1F"/>
    <w:rsid w:val="005D5D32"/>
    <w:rsid w:val="005F1ED3"/>
    <w:rsid w:val="005F3B28"/>
    <w:rsid w:val="005F41FB"/>
    <w:rsid w:val="005F5335"/>
    <w:rsid w:val="005F67FC"/>
    <w:rsid w:val="00602F04"/>
    <w:rsid w:val="00625934"/>
    <w:rsid w:val="00631979"/>
    <w:rsid w:val="006423E3"/>
    <w:rsid w:val="00643AAE"/>
    <w:rsid w:val="00656399"/>
    <w:rsid w:val="00676737"/>
    <w:rsid w:val="006A714D"/>
    <w:rsid w:val="006B43CB"/>
    <w:rsid w:val="006B67BB"/>
    <w:rsid w:val="006E54E4"/>
    <w:rsid w:val="006E67E2"/>
    <w:rsid w:val="00725284"/>
    <w:rsid w:val="00726A9B"/>
    <w:rsid w:val="00731F32"/>
    <w:rsid w:val="00735E57"/>
    <w:rsid w:val="00737861"/>
    <w:rsid w:val="0074393C"/>
    <w:rsid w:val="0075097F"/>
    <w:rsid w:val="00753B60"/>
    <w:rsid w:val="00756E6A"/>
    <w:rsid w:val="00763BF5"/>
    <w:rsid w:val="007963F3"/>
    <w:rsid w:val="007967F6"/>
    <w:rsid w:val="007A0CC2"/>
    <w:rsid w:val="007A1943"/>
    <w:rsid w:val="007A3FD5"/>
    <w:rsid w:val="007B5EC2"/>
    <w:rsid w:val="007D27A4"/>
    <w:rsid w:val="007D6D07"/>
    <w:rsid w:val="00812A23"/>
    <w:rsid w:val="00817669"/>
    <w:rsid w:val="008310D3"/>
    <w:rsid w:val="008556CE"/>
    <w:rsid w:val="0086587D"/>
    <w:rsid w:val="0087490C"/>
    <w:rsid w:val="00893BCE"/>
    <w:rsid w:val="008C189A"/>
    <w:rsid w:val="008C1A6D"/>
    <w:rsid w:val="008F01C0"/>
    <w:rsid w:val="008F4BE8"/>
    <w:rsid w:val="008F57E2"/>
    <w:rsid w:val="00900F69"/>
    <w:rsid w:val="009154FE"/>
    <w:rsid w:val="0092532D"/>
    <w:rsid w:val="00926275"/>
    <w:rsid w:val="00943BDA"/>
    <w:rsid w:val="009447C2"/>
    <w:rsid w:val="00955B8B"/>
    <w:rsid w:val="00971AC9"/>
    <w:rsid w:val="00974966"/>
    <w:rsid w:val="00976C30"/>
    <w:rsid w:val="00980936"/>
    <w:rsid w:val="009950DE"/>
    <w:rsid w:val="009A6535"/>
    <w:rsid w:val="009A7BEE"/>
    <w:rsid w:val="009C6E33"/>
    <w:rsid w:val="009D3D9C"/>
    <w:rsid w:val="009E69C7"/>
    <w:rsid w:val="00A12FB8"/>
    <w:rsid w:val="00A24E4F"/>
    <w:rsid w:val="00A25308"/>
    <w:rsid w:val="00A353B3"/>
    <w:rsid w:val="00A537B1"/>
    <w:rsid w:val="00A64F01"/>
    <w:rsid w:val="00AA3E20"/>
    <w:rsid w:val="00AA7DC8"/>
    <w:rsid w:val="00AB2B6B"/>
    <w:rsid w:val="00AB367B"/>
    <w:rsid w:val="00AB392B"/>
    <w:rsid w:val="00AB6F90"/>
    <w:rsid w:val="00AC1677"/>
    <w:rsid w:val="00AD7174"/>
    <w:rsid w:val="00AE3B92"/>
    <w:rsid w:val="00AE6878"/>
    <w:rsid w:val="00AF6F18"/>
    <w:rsid w:val="00B10B64"/>
    <w:rsid w:val="00B10DAE"/>
    <w:rsid w:val="00B14B59"/>
    <w:rsid w:val="00B2158B"/>
    <w:rsid w:val="00B33B67"/>
    <w:rsid w:val="00B42646"/>
    <w:rsid w:val="00B534C5"/>
    <w:rsid w:val="00B66405"/>
    <w:rsid w:val="00B8277C"/>
    <w:rsid w:val="00B93578"/>
    <w:rsid w:val="00B93B1D"/>
    <w:rsid w:val="00B94AE3"/>
    <w:rsid w:val="00BA7411"/>
    <w:rsid w:val="00BC22B4"/>
    <w:rsid w:val="00BF4F9D"/>
    <w:rsid w:val="00C22AF6"/>
    <w:rsid w:val="00C25450"/>
    <w:rsid w:val="00C27FBB"/>
    <w:rsid w:val="00C3165B"/>
    <w:rsid w:val="00C36B4A"/>
    <w:rsid w:val="00C42A31"/>
    <w:rsid w:val="00C659F6"/>
    <w:rsid w:val="00C6728C"/>
    <w:rsid w:val="00C863E0"/>
    <w:rsid w:val="00CC4266"/>
    <w:rsid w:val="00CD6C1E"/>
    <w:rsid w:val="00CD7D31"/>
    <w:rsid w:val="00CE1689"/>
    <w:rsid w:val="00CF38F2"/>
    <w:rsid w:val="00CF4135"/>
    <w:rsid w:val="00CF5A7C"/>
    <w:rsid w:val="00D111BF"/>
    <w:rsid w:val="00D1365A"/>
    <w:rsid w:val="00D3596F"/>
    <w:rsid w:val="00D47A8E"/>
    <w:rsid w:val="00DB18F7"/>
    <w:rsid w:val="00DC0158"/>
    <w:rsid w:val="00DC1B03"/>
    <w:rsid w:val="00DC4B5D"/>
    <w:rsid w:val="00DC76D9"/>
    <w:rsid w:val="00DE31B1"/>
    <w:rsid w:val="00DE75C5"/>
    <w:rsid w:val="00E04564"/>
    <w:rsid w:val="00E07821"/>
    <w:rsid w:val="00E144B8"/>
    <w:rsid w:val="00E2161B"/>
    <w:rsid w:val="00E23FB5"/>
    <w:rsid w:val="00E33571"/>
    <w:rsid w:val="00E60971"/>
    <w:rsid w:val="00E63AD2"/>
    <w:rsid w:val="00E81B28"/>
    <w:rsid w:val="00E861AD"/>
    <w:rsid w:val="00E925C0"/>
    <w:rsid w:val="00EB09F0"/>
    <w:rsid w:val="00EB43E0"/>
    <w:rsid w:val="00ED03C0"/>
    <w:rsid w:val="00EE3658"/>
    <w:rsid w:val="00EE4A60"/>
    <w:rsid w:val="00EE59F8"/>
    <w:rsid w:val="00EF1D3B"/>
    <w:rsid w:val="00F0195A"/>
    <w:rsid w:val="00F163AE"/>
    <w:rsid w:val="00F21294"/>
    <w:rsid w:val="00F34DCD"/>
    <w:rsid w:val="00F40B4B"/>
    <w:rsid w:val="00F458F7"/>
    <w:rsid w:val="00F634C9"/>
    <w:rsid w:val="00F67C5A"/>
    <w:rsid w:val="00F70B36"/>
    <w:rsid w:val="00F8208D"/>
    <w:rsid w:val="00FA5C99"/>
    <w:rsid w:val="00FA7DEE"/>
    <w:rsid w:val="00FB2D11"/>
    <w:rsid w:val="00FC1B1F"/>
    <w:rsid w:val="00FD6139"/>
    <w:rsid w:val="00FD7378"/>
    <w:rsid w:val="00FE1B4B"/>
    <w:rsid w:val="00FE48B9"/>
    <w:rsid w:val="00FE5290"/>
    <w:rsid w:val="00FF0FC6"/>
    <w:rsid w:val="00FF6CA6"/>
    <w:rsid w:val="064D5EE1"/>
    <w:rsid w:val="22B3211B"/>
    <w:rsid w:val="42664F53"/>
    <w:rsid w:val="57A97372"/>
    <w:rsid w:val="62A1226F"/>
    <w:rsid w:val="67921138"/>
    <w:rsid w:val="70514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3"/>
    <w:uiPriority w:val="99"/>
    <w:rPr>
      <w:sz w:val="18"/>
      <w:szCs w:val="18"/>
    </w:rPr>
  </w:style>
  <w:style w:type="character" w:customStyle="1" w:styleId="10">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11623-17F6-45F8-A864-E801A02D53D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287</Words>
  <Characters>1642</Characters>
  <Lines>13</Lines>
  <Paragraphs>3</Paragraphs>
  <TotalTime>34</TotalTime>
  <ScaleCrop>false</ScaleCrop>
  <LinksUpToDate>false</LinksUpToDate>
  <CharactersWithSpaces>1926</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2021-03-22T03:40:00Z</dcterms:created>
  <dc:creator>Sky123.Org</dc:creator>
  <cp:lastModifiedBy>Administrator</cp:lastModifiedBy>
  <dcterms:modified xsi:type="dcterms:W3CDTF">2022-03-15T01:13:57Z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72AADA1269544EF4B9B4C6AE0E376A78</vt:lpwstr>
  </property>
</Properties>
</file>